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890"/>
        <w:gridCol w:w="5400"/>
        <w:gridCol w:w="6030"/>
      </w:tblGrid>
      <w:tr w:rsidR="001401CE" w:rsidRPr="00EE2EC4" w14:paraId="592FB205" w14:textId="77777777" w:rsidTr="003763E2">
        <w:trPr>
          <w:trHeight w:val="601"/>
        </w:trPr>
        <w:tc>
          <w:tcPr>
            <w:tcW w:w="985" w:type="dxa"/>
          </w:tcPr>
          <w:p w14:paraId="49197B23" w14:textId="77777777" w:rsidR="001401CE" w:rsidRPr="007C70E3" w:rsidRDefault="001401CE" w:rsidP="001401CE">
            <w:pPr>
              <w:jc w:val="both"/>
              <w:rPr>
                <w:rFonts w:ascii="Palatino Linotype" w:hAnsi="Palatino Linotype"/>
                <w:b/>
                <w:bCs/>
                <w:sz w:val="22"/>
                <w:szCs w:val="22"/>
              </w:rPr>
            </w:pPr>
            <w:bookmarkStart w:id="0" w:name="_GoBack" w:colFirst="1" w:colLast="1"/>
            <w:r w:rsidRPr="007C70E3">
              <w:rPr>
                <w:rFonts w:ascii="Palatino Linotype" w:hAnsi="Palatino Linotype"/>
                <w:b/>
                <w:bCs/>
                <w:sz w:val="22"/>
                <w:szCs w:val="22"/>
              </w:rPr>
              <w:t>Sl. No.</w:t>
            </w:r>
          </w:p>
        </w:tc>
        <w:tc>
          <w:tcPr>
            <w:tcW w:w="1890" w:type="dxa"/>
          </w:tcPr>
          <w:p w14:paraId="7195D2A4" w14:textId="2CDB7419" w:rsidR="001401CE" w:rsidRPr="007C70E3" w:rsidRDefault="001401CE" w:rsidP="001401CE">
            <w:pPr>
              <w:jc w:val="both"/>
              <w:rPr>
                <w:rFonts w:ascii="Palatino Linotype" w:hAnsi="Palatino Linotype"/>
                <w:b/>
                <w:bCs/>
                <w:sz w:val="22"/>
                <w:szCs w:val="22"/>
              </w:rPr>
            </w:pPr>
            <w:r w:rsidRPr="00B02384">
              <w:rPr>
                <w:rFonts w:ascii="Book Antiqua" w:hAnsi="Book Antiqua"/>
                <w:b/>
                <w:bCs/>
                <w:sz w:val="22"/>
                <w:szCs w:val="22"/>
              </w:rPr>
              <w:t>Clause No.</w:t>
            </w:r>
          </w:p>
        </w:tc>
        <w:tc>
          <w:tcPr>
            <w:tcW w:w="5400" w:type="dxa"/>
          </w:tcPr>
          <w:p w14:paraId="02694957" w14:textId="2FB3BBAB" w:rsidR="001401CE" w:rsidRPr="007C70E3" w:rsidRDefault="001401CE" w:rsidP="001401CE">
            <w:pPr>
              <w:jc w:val="both"/>
              <w:rPr>
                <w:rFonts w:ascii="Palatino Linotype" w:hAnsi="Palatino Linotype"/>
                <w:b/>
                <w:bCs/>
                <w:sz w:val="22"/>
                <w:szCs w:val="22"/>
              </w:rPr>
            </w:pPr>
            <w:r w:rsidRPr="00B02384">
              <w:rPr>
                <w:rFonts w:ascii="Book Antiqua" w:hAnsi="Book Antiqua"/>
                <w:b/>
                <w:bCs/>
                <w:sz w:val="22"/>
                <w:szCs w:val="22"/>
              </w:rPr>
              <w:t>Existing Clause/item</w:t>
            </w:r>
          </w:p>
        </w:tc>
        <w:tc>
          <w:tcPr>
            <w:tcW w:w="6030" w:type="dxa"/>
          </w:tcPr>
          <w:p w14:paraId="1C2F2F20" w14:textId="53B9ABCE" w:rsidR="001401CE" w:rsidRPr="007C70E3" w:rsidRDefault="001401CE" w:rsidP="001401CE">
            <w:pPr>
              <w:jc w:val="both"/>
              <w:rPr>
                <w:rFonts w:ascii="Palatino Linotype" w:hAnsi="Palatino Linotype"/>
                <w:b/>
                <w:bCs/>
                <w:sz w:val="22"/>
                <w:szCs w:val="22"/>
              </w:rPr>
            </w:pPr>
            <w:r w:rsidRPr="00B02384">
              <w:rPr>
                <w:rFonts w:ascii="Book Antiqua" w:hAnsi="Book Antiqua"/>
                <w:b/>
                <w:bCs/>
                <w:sz w:val="22"/>
                <w:szCs w:val="22"/>
              </w:rPr>
              <w:t>Amendment</w:t>
            </w:r>
          </w:p>
        </w:tc>
      </w:tr>
      <w:tr w:rsidR="00DC0E25" w:rsidRPr="00EE2EC4" w14:paraId="23E6AC8B" w14:textId="77777777" w:rsidTr="003763E2">
        <w:trPr>
          <w:trHeight w:val="219"/>
        </w:trPr>
        <w:tc>
          <w:tcPr>
            <w:tcW w:w="985" w:type="dxa"/>
          </w:tcPr>
          <w:p w14:paraId="6A708B84" w14:textId="77777777" w:rsidR="00DC0E25" w:rsidRPr="007C70E3" w:rsidRDefault="00DC0E25" w:rsidP="00956509">
            <w:pPr>
              <w:pStyle w:val="ListParagraph"/>
              <w:numPr>
                <w:ilvl w:val="0"/>
                <w:numId w:val="1"/>
              </w:numPr>
              <w:ind w:hanging="567"/>
              <w:jc w:val="both"/>
              <w:rPr>
                <w:rFonts w:ascii="Palatino Linotype" w:hAnsi="Palatino Linotype"/>
                <w:b/>
                <w:bCs/>
                <w:sz w:val="22"/>
                <w:szCs w:val="22"/>
              </w:rPr>
            </w:pPr>
          </w:p>
        </w:tc>
        <w:tc>
          <w:tcPr>
            <w:tcW w:w="1890" w:type="dxa"/>
          </w:tcPr>
          <w:p w14:paraId="7AA52E80" w14:textId="4E5DC1C7" w:rsidR="00DC0E25" w:rsidRDefault="00DC0E25" w:rsidP="00DC0E25">
            <w:pPr>
              <w:jc w:val="both"/>
            </w:pPr>
            <w:r>
              <w:t>Clause 2.2.1, Section-IX, Vol II, TS</w:t>
            </w:r>
          </w:p>
        </w:tc>
        <w:tc>
          <w:tcPr>
            <w:tcW w:w="5400" w:type="dxa"/>
          </w:tcPr>
          <w:p w14:paraId="2DF5E5C1" w14:textId="17AC7F74" w:rsidR="00DC0E25" w:rsidRPr="004A4BB1" w:rsidRDefault="00DC0E25" w:rsidP="00DC0E25">
            <w:pPr>
              <w:jc w:val="both"/>
              <w:rPr>
                <w:sz w:val="19"/>
                <w:szCs w:val="19"/>
                <w:shd w:val="clear" w:color="auto" w:fill="FFFFFF"/>
              </w:rPr>
            </w:pPr>
            <w:r w:rsidRPr="00A37E4B">
              <w:t>Layout and levels of structures etc. shall be made by the Contractor, at his own cost, from the general grid of the plot and the bench marks given by the Employer. The Contractor shall make his own arrangements, at his own cost, for locating the co-ordinates and position of piles as per approved drawings and for determining the Reduced Level (R.L.) of the locations with respect to the single bench mark indicated by the Employer. Two established reference lines in mutually perpendicular direction shall be indicated to the Contractor. The Contractor shall provide at site all the required survey instruments, materials and men to Employer for verification of the detailed layout and correctness of the layout and levels to the satisfaction of the Employer so that the work can be carried out accurately according to specifications and drawings. The contractor shall be solely responsible for the correctness of layout and levels.</w:t>
            </w:r>
          </w:p>
        </w:tc>
        <w:tc>
          <w:tcPr>
            <w:tcW w:w="6030" w:type="dxa"/>
          </w:tcPr>
          <w:p w14:paraId="484D65A0" w14:textId="3F32E6E2" w:rsidR="00DC0E25" w:rsidRPr="00A37E4B" w:rsidRDefault="00DC0E25" w:rsidP="00DC0E25">
            <w:pPr>
              <w:jc w:val="both"/>
            </w:pPr>
            <w:r w:rsidRPr="00A37E4B">
              <w:t>Layout and levels of structures etc. shall be made by the Contractor, at his own cost, from the general grid of the plot and the bench marks given by the Employer. The Contractor shall make his own arrangements, at his own cost, for locating the co-ordinates and position of piles as per approved drawings and for determining the Reduced Level (R.L.) of the locations with respect to the single bench mark indicated by the Employer. Two established reference lines in mutually perpendicular direction shall be indicated to the Contractor. The Contractor shall provide at site all the required survey instruments, materials and men to Employer for verification of the detailed layout and correctness of the layout and levels to the satisfaction of the Employer so that the work can be carried out accurately according to specifications and drawings. The contractor shall be solely responsible for the correctness of layout and levels.</w:t>
            </w:r>
          </w:p>
          <w:p w14:paraId="4D7BDD54" w14:textId="5C407813" w:rsidR="00DC0E25" w:rsidRPr="00A37E4B" w:rsidRDefault="00DC0E25" w:rsidP="00DC0E25">
            <w:pPr>
              <w:jc w:val="both"/>
              <w:rPr>
                <w:b/>
                <w:bCs/>
                <w:sz w:val="22"/>
                <w:szCs w:val="22"/>
                <w:shd w:val="clear" w:color="auto" w:fill="FFFFFF"/>
              </w:rPr>
            </w:pPr>
            <w:r w:rsidRPr="00A37E4B">
              <w:rPr>
                <w:b/>
                <w:bCs/>
              </w:rPr>
              <w:t>Approach road details also to be included in the layout.</w:t>
            </w:r>
          </w:p>
        </w:tc>
      </w:tr>
      <w:tr w:rsidR="00DC0E25" w:rsidRPr="00EE2EC4" w14:paraId="13EA4D34" w14:textId="77777777" w:rsidTr="003763E2">
        <w:trPr>
          <w:trHeight w:val="219"/>
        </w:trPr>
        <w:tc>
          <w:tcPr>
            <w:tcW w:w="985" w:type="dxa"/>
          </w:tcPr>
          <w:p w14:paraId="61B80478" w14:textId="77777777" w:rsidR="00DC0E25" w:rsidRPr="007C70E3" w:rsidRDefault="00DC0E25" w:rsidP="00956509">
            <w:pPr>
              <w:pStyle w:val="ListParagraph"/>
              <w:numPr>
                <w:ilvl w:val="0"/>
                <w:numId w:val="1"/>
              </w:numPr>
              <w:ind w:hanging="567"/>
              <w:jc w:val="both"/>
              <w:rPr>
                <w:rFonts w:ascii="Palatino Linotype" w:hAnsi="Palatino Linotype"/>
                <w:b/>
                <w:bCs/>
                <w:sz w:val="22"/>
                <w:szCs w:val="22"/>
              </w:rPr>
            </w:pPr>
          </w:p>
        </w:tc>
        <w:tc>
          <w:tcPr>
            <w:tcW w:w="1890" w:type="dxa"/>
          </w:tcPr>
          <w:p w14:paraId="6B90533F" w14:textId="08E1E742" w:rsidR="00DC0E25" w:rsidRPr="004A4BB1" w:rsidRDefault="00DC0E25" w:rsidP="00DC0E25">
            <w:pPr>
              <w:jc w:val="both"/>
              <w:rPr>
                <w:sz w:val="22"/>
                <w:szCs w:val="22"/>
              </w:rPr>
            </w:pPr>
            <w:r>
              <w:t>Clause 2.4.2, Section-IX, Vol II, TS</w:t>
            </w:r>
          </w:p>
        </w:tc>
        <w:tc>
          <w:tcPr>
            <w:tcW w:w="5400" w:type="dxa"/>
          </w:tcPr>
          <w:p w14:paraId="0966A877" w14:textId="75DEDB0B" w:rsidR="00DC0E25" w:rsidRPr="00DC0E25" w:rsidRDefault="00DC0E25" w:rsidP="00DC0E25">
            <w:pPr>
              <w:widowControl w:val="0"/>
              <w:tabs>
                <w:tab w:val="left" w:pos="1134"/>
              </w:tabs>
            </w:pPr>
            <w:r w:rsidRPr="00DC0E25">
              <w:t xml:space="preserve">For foundation in creek, exposed to sea water/ coastal environment, or buried aggressive soil areas, tidal zone etc., Portland Pozzolana Cement conforming to IS 1489 shall preferably be used. </w:t>
            </w:r>
          </w:p>
          <w:p w14:paraId="1AD6880F" w14:textId="0DAC634F" w:rsidR="00DC0E25" w:rsidRPr="004A4BB1" w:rsidRDefault="00DC0E25" w:rsidP="00DC0E25">
            <w:pPr>
              <w:rPr>
                <w:sz w:val="22"/>
                <w:szCs w:val="22"/>
                <w:shd w:val="clear" w:color="auto" w:fill="FFFFFF"/>
              </w:rPr>
            </w:pPr>
          </w:p>
        </w:tc>
        <w:tc>
          <w:tcPr>
            <w:tcW w:w="6030" w:type="dxa"/>
          </w:tcPr>
          <w:p w14:paraId="05AE7876" w14:textId="77777777" w:rsidR="00D074AA" w:rsidRPr="00D074AA" w:rsidRDefault="00D074AA" w:rsidP="00D074AA">
            <w:pPr>
              <w:widowControl w:val="0"/>
              <w:tabs>
                <w:tab w:val="left" w:pos="1134"/>
              </w:tabs>
              <w:rPr>
                <w:strike/>
              </w:rPr>
            </w:pPr>
            <w:r w:rsidRPr="00D074AA">
              <w:rPr>
                <w:strike/>
              </w:rPr>
              <w:t xml:space="preserve">For foundation in creek, exposed to sea water/ coastal environment, or buried aggressive soil areas, tidal zone etc., Portland Pozzolana Cement conforming to IS 1489 shall preferably be used. </w:t>
            </w:r>
          </w:p>
          <w:p w14:paraId="332E57C7" w14:textId="119A5AF9" w:rsidR="00DC0E25" w:rsidRPr="004A4BB1" w:rsidRDefault="00DC0E25" w:rsidP="00DC0E25">
            <w:pPr>
              <w:jc w:val="both"/>
              <w:rPr>
                <w:strike/>
                <w:sz w:val="22"/>
                <w:szCs w:val="22"/>
                <w:shd w:val="clear" w:color="auto" w:fill="FFFFFF"/>
              </w:rPr>
            </w:pPr>
          </w:p>
        </w:tc>
      </w:tr>
      <w:tr w:rsidR="00DC0E25" w:rsidRPr="00EE2EC4" w14:paraId="11F05F0B" w14:textId="77777777" w:rsidTr="003763E2">
        <w:trPr>
          <w:trHeight w:val="219"/>
        </w:trPr>
        <w:tc>
          <w:tcPr>
            <w:tcW w:w="985" w:type="dxa"/>
          </w:tcPr>
          <w:p w14:paraId="7BF7CDAA" w14:textId="77777777" w:rsidR="00DC0E25" w:rsidRPr="007C70E3" w:rsidRDefault="00DC0E25" w:rsidP="00956509">
            <w:pPr>
              <w:pStyle w:val="ListParagraph"/>
              <w:numPr>
                <w:ilvl w:val="0"/>
                <w:numId w:val="1"/>
              </w:numPr>
              <w:ind w:hanging="477"/>
              <w:jc w:val="both"/>
              <w:rPr>
                <w:rFonts w:ascii="Palatino Linotype" w:hAnsi="Palatino Linotype"/>
                <w:b/>
                <w:bCs/>
                <w:sz w:val="22"/>
                <w:szCs w:val="22"/>
              </w:rPr>
            </w:pPr>
          </w:p>
        </w:tc>
        <w:tc>
          <w:tcPr>
            <w:tcW w:w="1890" w:type="dxa"/>
          </w:tcPr>
          <w:p w14:paraId="6C99DF54" w14:textId="20A7728E" w:rsidR="00DC0E25" w:rsidRPr="00C52157" w:rsidRDefault="00C52157" w:rsidP="00DC0E25">
            <w:pPr>
              <w:jc w:val="both"/>
            </w:pPr>
            <w:r>
              <w:t>Clause 2.5.3, Section-IX, Vol II, TS</w:t>
            </w:r>
          </w:p>
        </w:tc>
        <w:tc>
          <w:tcPr>
            <w:tcW w:w="5400" w:type="dxa"/>
          </w:tcPr>
          <w:p w14:paraId="66197AFF" w14:textId="7B6FFC8D" w:rsidR="00DC0E25" w:rsidRPr="00A37E4B" w:rsidRDefault="00C52157" w:rsidP="00DC0E25">
            <w:pPr>
              <w:jc w:val="both"/>
            </w:pPr>
            <w:r w:rsidRPr="00A37E4B">
              <w:t xml:space="preserve">Reinforcement steel shall be stored consignment wise and size wise, off the ground and under cover. It shall be protected from rusting, oil grease and distortions. If directed by the Employer, the reinforcement steel may have to be coated with cement wash before stacking, to prevent scale and rust at no extra cost to the </w:t>
            </w:r>
            <w:r w:rsidRPr="00A37E4B">
              <w:lastRenderedPageBreak/>
              <w:t xml:space="preserve">Employer. The stacks shall be easily measurable. Only steel needed for immediate use shall be removed from storage. Fabricated reinforcement shall be carefully stored to prevent damage, distortion, corrosion &amp; deterioration.  </w:t>
            </w:r>
          </w:p>
        </w:tc>
        <w:tc>
          <w:tcPr>
            <w:tcW w:w="6030" w:type="dxa"/>
          </w:tcPr>
          <w:p w14:paraId="655E9A8A" w14:textId="77777777" w:rsidR="00C52157" w:rsidRPr="00A37E4B" w:rsidRDefault="00C52157" w:rsidP="00DC0E25">
            <w:pPr>
              <w:jc w:val="both"/>
              <w:rPr>
                <w:strike/>
              </w:rPr>
            </w:pPr>
            <w:r w:rsidRPr="00A37E4B">
              <w:rPr>
                <w:strike/>
              </w:rPr>
              <w:lastRenderedPageBreak/>
              <w:t xml:space="preserve">Reinforcement steel shall be stored consignment wise and size wise, off the ground and under cover. It shall be protected from rusting, oil grease and distortions. If directed by the Employer, the reinforcement steel may have to be coated with cement wash before stacking, to prevent scale and rust at no extra cost to the Employer. The stacks shall be </w:t>
            </w:r>
            <w:r w:rsidRPr="00A37E4B">
              <w:rPr>
                <w:strike/>
              </w:rPr>
              <w:lastRenderedPageBreak/>
              <w:t xml:space="preserve">easily measurable. Only steel needed for immediate use shall be removed from storage. Fabricated reinforcement shall be carefully stored to prevent damage, distortion, corrosion &amp; deterioration.  </w:t>
            </w:r>
          </w:p>
          <w:p w14:paraId="7A906E9C" w14:textId="2778EE67" w:rsidR="00DC0E25" w:rsidRPr="00A37E4B" w:rsidRDefault="00C52157" w:rsidP="00DC0E25">
            <w:pPr>
              <w:jc w:val="both"/>
              <w:rPr>
                <w:b/>
                <w:bCs/>
                <w:strike/>
                <w:sz w:val="22"/>
                <w:szCs w:val="22"/>
                <w:shd w:val="clear" w:color="auto" w:fill="FFFFFF"/>
              </w:rPr>
            </w:pPr>
            <w:r w:rsidRPr="00A37E4B">
              <w:rPr>
                <w:b/>
                <w:bCs/>
              </w:rPr>
              <w:t>For each classification of steel, separate areas shall be earmarked. It is desirable that ends of bars and sections of each class be painted in distinct separate colors. Steel reinforcement shall be stored in such a way as to avoid distortion and to prevent deterioration and corrosion. It is desirable to coat reinforcement with cement wash before stacking to prevent scaling and rusting in case of storage time exceeding one month. In store, reinforcement bar shall be stacked above ground level by at least 150mm either on brick/cement/stone platform or concrete/brick planks.</w:t>
            </w:r>
          </w:p>
        </w:tc>
      </w:tr>
      <w:tr w:rsidR="00C52157" w:rsidRPr="00EE2EC4" w14:paraId="55F367FC" w14:textId="77777777" w:rsidTr="003763E2">
        <w:trPr>
          <w:trHeight w:val="219"/>
        </w:trPr>
        <w:tc>
          <w:tcPr>
            <w:tcW w:w="985" w:type="dxa"/>
          </w:tcPr>
          <w:p w14:paraId="1B8CB312" w14:textId="77777777" w:rsidR="00C52157" w:rsidRPr="007C70E3" w:rsidRDefault="00C52157" w:rsidP="00956509">
            <w:pPr>
              <w:pStyle w:val="ListParagraph"/>
              <w:numPr>
                <w:ilvl w:val="0"/>
                <w:numId w:val="1"/>
              </w:numPr>
              <w:ind w:hanging="477"/>
              <w:jc w:val="both"/>
              <w:rPr>
                <w:rFonts w:ascii="Palatino Linotype" w:hAnsi="Palatino Linotype"/>
                <w:b/>
                <w:bCs/>
                <w:sz w:val="22"/>
                <w:szCs w:val="22"/>
              </w:rPr>
            </w:pPr>
          </w:p>
        </w:tc>
        <w:tc>
          <w:tcPr>
            <w:tcW w:w="1890" w:type="dxa"/>
          </w:tcPr>
          <w:p w14:paraId="7FBE8BCF" w14:textId="604ADEA9" w:rsidR="00C52157" w:rsidRPr="004A4BB1" w:rsidRDefault="00C52157" w:rsidP="00C52157">
            <w:pPr>
              <w:jc w:val="both"/>
              <w:rPr>
                <w:sz w:val="22"/>
                <w:szCs w:val="22"/>
              </w:rPr>
            </w:pPr>
            <w:r>
              <w:t>Clause 2.6.5.2, Section-IX, Vol II, TS</w:t>
            </w:r>
          </w:p>
        </w:tc>
        <w:tc>
          <w:tcPr>
            <w:tcW w:w="5400" w:type="dxa"/>
          </w:tcPr>
          <w:p w14:paraId="4C067C9C" w14:textId="4E7AB416" w:rsidR="00C52157" w:rsidRPr="004A4BB1" w:rsidRDefault="00C52157" w:rsidP="00C52157">
            <w:pPr>
              <w:jc w:val="both"/>
              <w:rPr>
                <w:sz w:val="22"/>
                <w:szCs w:val="22"/>
                <w:shd w:val="clear" w:color="auto" w:fill="FFFFFF"/>
              </w:rPr>
            </w:pPr>
            <w:r w:rsidRPr="00A37E4B">
              <w:t>The proportions of sand, coarse aggregate, cement and water shall be as determined by the mix design. However, in case of nominal mix concrete (for lean concrete only) the proportions of sand, coarse aggregate, cement and water shall be fixed.  The proportions, as determined for design mix concrete and shall always be approved by the Employer. The quantities of the cement, sand and coarse aggregates shall be determined by weight. However, for a faster progress at site, quantities of the cement, sand and coarse aggregates can be converted to equivalent volume. The water shall be measured accurately after giving proper allowance for surface water present in the aggregate for which regular check shall be made by the Contractor.</w:t>
            </w:r>
          </w:p>
        </w:tc>
        <w:tc>
          <w:tcPr>
            <w:tcW w:w="6030" w:type="dxa"/>
          </w:tcPr>
          <w:p w14:paraId="2FE7429E" w14:textId="00F3ABCA" w:rsidR="00C52157" w:rsidRPr="004A4BB1" w:rsidRDefault="00C52157" w:rsidP="00C52157">
            <w:pPr>
              <w:jc w:val="both"/>
              <w:rPr>
                <w:strike/>
                <w:sz w:val="22"/>
                <w:szCs w:val="22"/>
                <w:shd w:val="clear" w:color="auto" w:fill="FFFFFF"/>
              </w:rPr>
            </w:pPr>
            <w:r w:rsidRPr="00A37E4B">
              <w:t xml:space="preserve">The proportions of sand, coarse aggregate, cement and water shall be as determined by the mix design. However, in case of nominal mix concrete (for lean concrete only) the proportions of sand, coarse aggregate, cement and water shall be fixed.  The proportions, as determined for design mix concrete and shall always be approved by the Employer. The quantities of the cement, sand and coarse aggregates shall be determined by weight. </w:t>
            </w:r>
            <w:r w:rsidRPr="00A37E4B">
              <w:rPr>
                <w:strike/>
              </w:rPr>
              <w:t>However, for a faster progress at site, quantities of the cement, sand and coarse aggregates can be converted to equivalent volume</w:t>
            </w:r>
            <w:r w:rsidRPr="00A37E4B">
              <w:t>. The water shall be measured accurately after giving proper allowance for surface water present in the aggregate for which regular check shall be made by the Contractor.</w:t>
            </w:r>
          </w:p>
        </w:tc>
      </w:tr>
      <w:tr w:rsidR="00C52157" w:rsidRPr="00EE2EC4" w14:paraId="21452B9A" w14:textId="77777777" w:rsidTr="003763E2">
        <w:trPr>
          <w:trHeight w:val="878"/>
        </w:trPr>
        <w:tc>
          <w:tcPr>
            <w:tcW w:w="985" w:type="dxa"/>
          </w:tcPr>
          <w:p w14:paraId="14E88DD5" w14:textId="77777777" w:rsidR="00C52157" w:rsidRPr="007C70E3" w:rsidRDefault="00C52157" w:rsidP="00956509">
            <w:pPr>
              <w:pStyle w:val="ListParagraph"/>
              <w:numPr>
                <w:ilvl w:val="0"/>
                <w:numId w:val="1"/>
              </w:numPr>
              <w:ind w:hanging="567"/>
              <w:jc w:val="both"/>
              <w:rPr>
                <w:rFonts w:ascii="Palatino Linotype" w:hAnsi="Palatino Linotype"/>
                <w:b/>
                <w:bCs/>
                <w:sz w:val="22"/>
                <w:szCs w:val="22"/>
              </w:rPr>
            </w:pPr>
          </w:p>
        </w:tc>
        <w:tc>
          <w:tcPr>
            <w:tcW w:w="1890" w:type="dxa"/>
          </w:tcPr>
          <w:p w14:paraId="3895D815" w14:textId="59A09784" w:rsidR="00C52157" w:rsidRDefault="009C3AD7" w:rsidP="00C52157">
            <w:pPr>
              <w:jc w:val="both"/>
            </w:pPr>
            <w:r>
              <w:t>Clause 2.9.4.7, Section-IX, Vol II, TS</w:t>
            </w:r>
          </w:p>
        </w:tc>
        <w:tc>
          <w:tcPr>
            <w:tcW w:w="5400" w:type="dxa"/>
          </w:tcPr>
          <w:p w14:paraId="020FF480" w14:textId="3DACED40" w:rsidR="00C52157" w:rsidRPr="00E7435A" w:rsidRDefault="009C3AD7" w:rsidP="00C52157">
            <w:pPr>
              <w:jc w:val="both"/>
            </w:pPr>
            <w:r w:rsidRPr="009C3AD7">
              <w:t xml:space="preserve">The size of cutting tools shall not be less than the diameter of the pile as specified in the drawing and not more than 75mm.  </w:t>
            </w:r>
          </w:p>
        </w:tc>
        <w:tc>
          <w:tcPr>
            <w:tcW w:w="6030" w:type="dxa"/>
          </w:tcPr>
          <w:p w14:paraId="1FC4A94C" w14:textId="77777777" w:rsidR="00C52157" w:rsidRDefault="009C3AD7" w:rsidP="00A37E4B">
            <w:pPr>
              <w:jc w:val="both"/>
              <w:rPr>
                <w:strike/>
              </w:rPr>
            </w:pPr>
            <w:r w:rsidRPr="00C23C55">
              <w:rPr>
                <w:strike/>
              </w:rPr>
              <w:t xml:space="preserve">The size of cutting tools shall not be less than the diameter of the pile as specified in the drawing and not more than 75mm.  </w:t>
            </w:r>
          </w:p>
          <w:p w14:paraId="39237B7D" w14:textId="13A08D0A" w:rsidR="00C23C55" w:rsidRPr="00E41DB9" w:rsidRDefault="00C23C55" w:rsidP="00C23C55">
            <w:pPr>
              <w:jc w:val="both"/>
              <w:rPr>
                <w:b/>
                <w:bCs/>
              </w:rPr>
            </w:pPr>
            <w:bookmarkStart w:id="1" w:name="_Hlk79569815"/>
            <w:r w:rsidRPr="00E41DB9">
              <w:rPr>
                <w:b/>
                <w:bCs/>
              </w:rPr>
              <w:t>Size of cutting tool shall be such that so as to achieve required diameter of pile as per the design drawing.</w:t>
            </w:r>
            <w:bookmarkEnd w:id="1"/>
          </w:p>
        </w:tc>
      </w:tr>
      <w:tr w:rsidR="00C52157" w:rsidRPr="00EE2EC4" w14:paraId="0C04C94F" w14:textId="77777777" w:rsidTr="003763E2">
        <w:trPr>
          <w:trHeight w:val="786"/>
        </w:trPr>
        <w:tc>
          <w:tcPr>
            <w:tcW w:w="985" w:type="dxa"/>
          </w:tcPr>
          <w:p w14:paraId="252EF9CC" w14:textId="77777777" w:rsidR="00C52157" w:rsidRPr="007C70E3" w:rsidRDefault="00C52157" w:rsidP="00956509">
            <w:pPr>
              <w:pStyle w:val="ListParagraph"/>
              <w:numPr>
                <w:ilvl w:val="0"/>
                <w:numId w:val="1"/>
              </w:numPr>
              <w:ind w:hanging="567"/>
              <w:rPr>
                <w:rFonts w:ascii="Palatino Linotype" w:hAnsi="Palatino Linotype"/>
                <w:b/>
                <w:bCs/>
                <w:sz w:val="22"/>
                <w:szCs w:val="22"/>
              </w:rPr>
            </w:pPr>
          </w:p>
        </w:tc>
        <w:tc>
          <w:tcPr>
            <w:tcW w:w="1890" w:type="dxa"/>
          </w:tcPr>
          <w:p w14:paraId="1631CF91" w14:textId="37D977E9" w:rsidR="00C52157" w:rsidRPr="00E7435A" w:rsidRDefault="009C3AD7" w:rsidP="00C52157">
            <w:pPr>
              <w:jc w:val="both"/>
              <w:rPr>
                <w:sz w:val="22"/>
                <w:szCs w:val="22"/>
              </w:rPr>
            </w:pPr>
            <w:r>
              <w:t>Clause 2.9.8.6, Section-IX, Vol II, TS</w:t>
            </w:r>
          </w:p>
        </w:tc>
        <w:tc>
          <w:tcPr>
            <w:tcW w:w="5400" w:type="dxa"/>
          </w:tcPr>
          <w:p w14:paraId="5379335F" w14:textId="59C21B8F" w:rsidR="009C3AD7" w:rsidRPr="00A37E4B" w:rsidRDefault="009C3AD7" w:rsidP="009C3AD7">
            <w:r w:rsidRPr="00A37E4B">
              <w:t>Concreting operations shall not proceed if the contaminated drilling mud at the bottom of the pile bore possess density more than 1.25 T/ cum. or sand content more than 7%. The drilling mud sample shall be collected from the bottom of pile bore. This shall be checked at regular intervals, as decided by the Employer thereafter.</w:t>
            </w:r>
          </w:p>
          <w:p w14:paraId="0FF4B9F5" w14:textId="2DFCBA06" w:rsidR="00C52157" w:rsidRPr="00E7435A" w:rsidRDefault="00C52157" w:rsidP="00C52157">
            <w:pPr>
              <w:jc w:val="both"/>
              <w:rPr>
                <w:sz w:val="22"/>
                <w:szCs w:val="22"/>
              </w:rPr>
            </w:pPr>
          </w:p>
        </w:tc>
        <w:tc>
          <w:tcPr>
            <w:tcW w:w="6030" w:type="dxa"/>
          </w:tcPr>
          <w:p w14:paraId="3A8E9C09" w14:textId="6030990D" w:rsidR="00C52157" w:rsidRPr="00E7435A" w:rsidRDefault="009C3AD7" w:rsidP="00A37E4B">
            <w:pPr>
              <w:rPr>
                <w:strike/>
                <w:sz w:val="22"/>
                <w:szCs w:val="22"/>
              </w:rPr>
            </w:pPr>
            <w:r w:rsidRPr="00A37E4B">
              <w:t xml:space="preserve">Concreting operations shall not proceed if the contaminated drilling mud at the bottom of the pile bore possess density more than </w:t>
            </w:r>
            <w:r w:rsidRPr="00A37E4B">
              <w:rPr>
                <w:strike/>
              </w:rPr>
              <w:t>1.25</w:t>
            </w:r>
            <w:r w:rsidRPr="00A37E4B">
              <w:t xml:space="preserve"> </w:t>
            </w:r>
            <w:r w:rsidRPr="00E41DB9">
              <w:rPr>
                <w:b/>
                <w:bCs/>
              </w:rPr>
              <w:t>1.12</w:t>
            </w:r>
            <w:r w:rsidR="00E41DB9">
              <w:t xml:space="preserve"> </w:t>
            </w:r>
            <w:r w:rsidRPr="00A37E4B">
              <w:t>T/ cum. or sand content more than 7%. The drilling mud sample shall be collected from the bottom of pile bore. This shall be checked at regular intervals, as decided by the Employer thereafter.</w:t>
            </w:r>
          </w:p>
        </w:tc>
      </w:tr>
      <w:tr w:rsidR="00062977" w:rsidRPr="00EE2EC4" w14:paraId="10CE96EE" w14:textId="77777777" w:rsidTr="003763E2">
        <w:trPr>
          <w:trHeight w:val="239"/>
        </w:trPr>
        <w:tc>
          <w:tcPr>
            <w:tcW w:w="985" w:type="dxa"/>
          </w:tcPr>
          <w:p w14:paraId="6A32EE9C" w14:textId="77777777" w:rsidR="00062977" w:rsidRPr="007C70E3" w:rsidRDefault="00062977" w:rsidP="00062977">
            <w:pPr>
              <w:pStyle w:val="ListParagraph"/>
              <w:numPr>
                <w:ilvl w:val="0"/>
                <w:numId w:val="1"/>
              </w:numPr>
              <w:ind w:hanging="567"/>
              <w:jc w:val="both"/>
              <w:rPr>
                <w:rFonts w:ascii="Palatino Linotype" w:hAnsi="Palatino Linotype"/>
                <w:b/>
                <w:bCs/>
                <w:sz w:val="22"/>
                <w:szCs w:val="22"/>
              </w:rPr>
            </w:pPr>
          </w:p>
        </w:tc>
        <w:tc>
          <w:tcPr>
            <w:tcW w:w="1890" w:type="dxa"/>
          </w:tcPr>
          <w:p w14:paraId="3EF8C9C4" w14:textId="36AFDF8C" w:rsidR="00062977" w:rsidRDefault="00062977" w:rsidP="00062977">
            <w:pPr>
              <w:jc w:val="both"/>
            </w:pPr>
            <w:r>
              <w:t>Clause 1.2.4.5, Section-IX, Vol II, TS</w:t>
            </w:r>
          </w:p>
        </w:tc>
        <w:tc>
          <w:tcPr>
            <w:tcW w:w="5400" w:type="dxa"/>
          </w:tcPr>
          <w:p w14:paraId="69612EAE" w14:textId="141FBD1A" w:rsidR="00062977" w:rsidRPr="007A0DB8" w:rsidRDefault="00062977" w:rsidP="00062977">
            <w:pPr>
              <w:autoSpaceDE w:val="0"/>
              <w:autoSpaceDN w:val="0"/>
              <w:adjustRightInd w:val="0"/>
            </w:pPr>
            <w:r w:rsidRPr="00A37E4B">
              <w:t xml:space="preserve">a) Piles shall be designed as per Annexure ‘C’ of IS 2911 (Part 1/Sec 2) for Lateral load. To calculate fixed head moment ‘MF’ of the equivalent cantilever, Pile embedded into pile cap shall be treated as partially fixed (i.e., restrained against rotation, not restraint against position). Accordingly, equivalent length of cantilever piles shall be taken as </w:t>
            </w:r>
            <w:proofErr w:type="gramStart"/>
            <w:r w:rsidRPr="00A37E4B">
              <w:t>0.6  times</w:t>
            </w:r>
            <w:proofErr w:type="gramEnd"/>
            <w:r w:rsidRPr="00A37E4B">
              <w:t xml:space="preserve"> of total virtual cantilever length (i.e. E + ZF) of pile.</w:t>
            </w:r>
          </w:p>
        </w:tc>
        <w:tc>
          <w:tcPr>
            <w:tcW w:w="6030" w:type="dxa"/>
          </w:tcPr>
          <w:p w14:paraId="5048B82E" w14:textId="20A64D9D" w:rsidR="00062977" w:rsidRPr="001266BA" w:rsidRDefault="00062977" w:rsidP="00062977">
            <w:pPr>
              <w:autoSpaceDE w:val="0"/>
              <w:autoSpaceDN w:val="0"/>
              <w:adjustRightInd w:val="0"/>
            </w:pPr>
            <w:r w:rsidRPr="00A37E4B">
              <w:t xml:space="preserve">a) Piles shall be designed as per Annexure ‘C’ of IS 2911 (Part 1/Sec 2) for Lateral load. To calculate fixed head moment ‘MF’ of the equivalent cantilever, Pile embedded into pile cap shall be treated as partially fixed (i.e., restrained against rotation, not restraint against position). Accordingly, equivalent length of cantilever piles shall be taken as </w:t>
            </w:r>
            <w:r w:rsidRPr="00330AD1">
              <w:rPr>
                <w:strike/>
              </w:rPr>
              <w:t>0.6</w:t>
            </w:r>
            <w:r w:rsidRPr="00A37E4B">
              <w:t xml:space="preserve"> </w:t>
            </w:r>
            <w:r w:rsidRPr="00E41DB9">
              <w:rPr>
                <w:b/>
                <w:bCs/>
              </w:rPr>
              <w:t>1.2</w:t>
            </w:r>
            <w:r w:rsidRPr="00A37E4B">
              <w:t xml:space="preserve"> times of total virtual cantilever length (i.e. E + ZF) of pile.</w:t>
            </w:r>
          </w:p>
        </w:tc>
      </w:tr>
      <w:tr w:rsidR="00062977" w:rsidRPr="00EE2EC4" w14:paraId="2B87121E" w14:textId="77777777" w:rsidTr="003763E2">
        <w:trPr>
          <w:trHeight w:val="239"/>
        </w:trPr>
        <w:tc>
          <w:tcPr>
            <w:tcW w:w="985" w:type="dxa"/>
          </w:tcPr>
          <w:p w14:paraId="1A64ECD1" w14:textId="77777777" w:rsidR="00062977" w:rsidRPr="007C70E3" w:rsidRDefault="00062977" w:rsidP="00062977">
            <w:pPr>
              <w:pStyle w:val="ListParagraph"/>
              <w:numPr>
                <w:ilvl w:val="0"/>
                <w:numId w:val="1"/>
              </w:numPr>
              <w:ind w:hanging="567"/>
              <w:jc w:val="both"/>
              <w:rPr>
                <w:rFonts w:ascii="Palatino Linotype" w:hAnsi="Palatino Linotype"/>
                <w:b/>
                <w:bCs/>
                <w:sz w:val="22"/>
                <w:szCs w:val="22"/>
              </w:rPr>
            </w:pPr>
          </w:p>
        </w:tc>
        <w:tc>
          <w:tcPr>
            <w:tcW w:w="1890" w:type="dxa"/>
          </w:tcPr>
          <w:p w14:paraId="2CDDC42D" w14:textId="63B57033" w:rsidR="00062977" w:rsidRDefault="00062977" w:rsidP="00062977">
            <w:pPr>
              <w:jc w:val="both"/>
            </w:pPr>
            <w:r>
              <w:t>Clause 2.6.3.3, Section-IX, Vol II, TS</w:t>
            </w:r>
          </w:p>
        </w:tc>
        <w:tc>
          <w:tcPr>
            <w:tcW w:w="5400" w:type="dxa"/>
          </w:tcPr>
          <w:p w14:paraId="52BBB94E" w14:textId="429E4E96" w:rsidR="00062977" w:rsidRPr="007A0DB8" w:rsidRDefault="00062977" w:rsidP="00062977">
            <w:pPr>
              <w:autoSpaceDE w:val="0"/>
              <w:autoSpaceDN w:val="0"/>
              <w:adjustRightInd w:val="0"/>
            </w:pPr>
            <w:r w:rsidRPr="00A37E4B">
              <w:t>For foundation in creek, exposed to sea water /coastal environment, or buried aggressive soil areas, tidal zone etc., Grade of Concrete as mentioned in BPS shall be used. In addition, two numbers of coats of bituminous painting of minimum 1.6 kg/m2 per coat shall be applied on all the exposed faces of the foundation (i.e.  pedestal/chimney/ tie beam &amp; base slab/ pile cap). Cost of bituminous painting shall be deemed to be included in the unit rate of the concrete</w:t>
            </w:r>
          </w:p>
        </w:tc>
        <w:tc>
          <w:tcPr>
            <w:tcW w:w="6030" w:type="dxa"/>
          </w:tcPr>
          <w:p w14:paraId="06C0BFB4" w14:textId="4E39A636" w:rsidR="00062977" w:rsidRPr="001266BA" w:rsidRDefault="00062977" w:rsidP="00062977">
            <w:pPr>
              <w:autoSpaceDE w:val="0"/>
              <w:autoSpaceDN w:val="0"/>
              <w:adjustRightInd w:val="0"/>
            </w:pPr>
            <w:r w:rsidRPr="00A37E4B">
              <w:t>For foundation in creek, exposed to sea water /coastal environment, or buried aggressive soil areas, tidal zone etc., Grade of Concrete as mentioned in BPS shall be used. In addition, two numbers of coats of bituminous painting of minimum 1.6 kg/m2 per coat shall be applied on all the exposed faces of the foundation (i.e.  pedestal/chimney/ tie beam &amp; base slab/ pile cap). Cost of bituminous painting shall be deemed to be included in the unit rate of the concrete</w:t>
            </w:r>
            <w:r w:rsidRPr="00E41DB9">
              <w:rPr>
                <w:b/>
                <w:bCs/>
              </w:rPr>
              <w:t>/ unit rate of pile foundation.</w:t>
            </w:r>
          </w:p>
        </w:tc>
      </w:tr>
      <w:tr w:rsidR="00062977" w:rsidRPr="00EE2EC4" w14:paraId="297CB3E9" w14:textId="77777777" w:rsidTr="003763E2">
        <w:trPr>
          <w:trHeight w:val="239"/>
        </w:trPr>
        <w:tc>
          <w:tcPr>
            <w:tcW w:w="985" w:type="dxa"/>
          </w:tcPr>
          <w:p w14:paraId="2572A718" w14:textId="77777777" w:rsidR="00062977" w:rsidRPr="007C70E3" w:rsidRDefault="00062977" w:rsidP="00062977">
            <w:pPr>
              <w:pStyle w:val="ListParagraph"/>
              <w:numPr>
                <w:ilvl w:val="0"/>
                <w:numId w:val="1"/>
              </w:numPr>
              <w:ind w:hanging="567"/>
              <w:jc w:val="both"/>
              <w:rPr>
                <w:rFonts w:ascii="Palatino Linotype" w:hAnsi="Palatino Linotype"/>
                <w:b/>
                <w:bCs/>
                <w:sz w:val="22"/>
                <w:szCs w:val="22"/>
              </w:rPr>
            </w:pPr>
          </w:p>
        </w:tc>
        <w:tc>
          <w:tcPr>
            <w:tcW w:w="1890" w:type="dxa"/>
          </w:tcPr>
          <w:p w14:paraId="3A811072" w14:textId="1940A0CC" w:rsidR="00062977" w:rsidRDefault="00062977" w:rsidP="00062977">
            <w:pPr>
              <w:jc w:val="both"/>
            </w:pPr>
            <w:r>
              <w:t>Clause 2.6.10, Section-IX, Vol II, TS</w:t>
            </w:r>
          </w:p>
        </w:tc>
        <w:tc>
          <w:tcPr>
            <w:tcW w:w="5400" w:type="dxa"/>
          </w:tcPr>
          <w:p w14:paraId="5F6568CE" w14:textId="77777777" w:rsidR="00062977" w:rsidRPr="00A37E4B" w:rsidRDefault="00062977" w:rsidP="00062977">
            <w:pPr>
              <w:jc w:val="both"/>
            </w:pPr>
            <w:r w:rsidRPr="00A37E4B">
              <w:t>All concrete surfaces…. Employer.</w:t>
            </w:r>
          </w:p>
          <w:p w14:paraId="5072979A" w14:textId="77777777" w:rsidR="00062977" w:rsidRPr="00A37E4B" w:rsidRDefault="00062977" w:rsidP="00062977">
            <w:pPr>
              <w:jc w:val="both"/>
            </w:pPr>
          </w:p>
          <w:p w14:paraId="0460BF42" w14:textId="572ED6F2" w:rsidR="00062977" w:rsidRPr="007A0DB8" w:rsidRDefault="00062977" w:rsidP="00062977">
            <w:pPr>
              <w:autoSpaceDE w:val="0"/>
              <w:autoSpaceDN w:val="0"/>
              <w:adjustRightInd w:val="0"/>
            </w:pPr>
            <w:r w:rsidRPr="00A37E4B">
              <w:lastRenderedPageBreak/>
              <w:t>The unit rate concrete work shall be inclusive of the cost of cleaning and finishing exposed surface as mentioned above.</w:t>
            </w:r>
          </w:p>
        </w:tc>
        <w:tc>
          <w:tcPr>
            <w:tcW w:w="6030" w:type="dxa"/>
          </w:tcPr>
          <w:p w14:paraId="3AF8E040" w14:textId="77777777" w:rsidR="00062977" w:rsidRPr="00A37E4B" w:rsidRDefault="00062977" w:rsidP="00062977">
            <w:pPr>
              <w:jc w:val="both"/>
            </w:pPr>
            <w:r w:rsidRPr="00A37E4B">
              <w:lastRenderedPageBreak/>
              <w:t>All concrete surfaces…. Employer.</w:t>
            </w:r>
          </w:p>
          <w:p w14:paraId="78BFC506" w14:textId="77777777" w:rsidR="00062977" w:rsidRPr="00A37E4B" w:rsidRDefault="00062977" w:rsidP="00062977">
            <w:pPr>
              <w:jc w:val="both"/>
            </w:pPr>
          </w:p>
          <w:p w14:paraId="0E95F24A" w14:textId="6FF665D9" w:rsidR="00062977" w:rsidRPr="001266BA" w:rsidRDefault="00062977" w:rsidP="00062977">
            <w:pPr>
              <w:autoSpaceDE w:val="0"/>
              <w:autoSpaceDN w:val="0"/>
              <w:adjustRightInd w:val="0"/>
            </w:pPr>
            <w:r w:rsidRPr="00A37E4B">
              <w:lastRenderedPageBreak/>
              <w:t xml:space="preserve">The </w:t>
            </w:r>
            <w:r w:rsidRPr="00E41DB9">
              <w:rPr>
                <w:b/>
                <w:bCs/>
              </w:rPr>
              <w:t>unit rate of pile foundation /</w:t>
            </w:r>
            <w:r w:rsidRPr="00A37E4B">
              <w:t xml:space="preserve"> unit rate of concrete work shall be inclusive of the cost of cleaning and finishing exposed surface as mentioned above.</w:t>
            </w:r>
          </w:p>
        </w:tc>
      </w:tr>
      <w:tr w:rsidR="00062977" w:rsidRPr="00EE2EC4" w14:paraId="20C1A59B" w14:textId="77777777" w:rsidTr="003763E2">
        <w:trPr>
          <w:trHeight w:val="239"/>
        </w:trPr>
        <w:tc>
          <w:tcPr>
            <w:tcW w:w="985" w:type="dxa"/>
          </w:tcPr>
          <w:p w14:paraId="1379FD6E" w14:textId="77777777" w:rsidR="00062977" w:rsidRPr="007C70E3" w:rsidRDefault="00062977" w:rsidP="00062977">
            <w:pPr>
              <w:pStyle w:val="ListParagraph"/>
              <w:numPr>
                <w:ilvl w:val="0"/>
                <w:numId w:val="1"/>
              </w:numPr>
              <w:ind w:hanging="567"/>
              <w:jc w:val="both"/>
              <w:rPr>
                <w:rFonts w:ascii="Palatino Linotype" w:hAnsi="Palatino Linotype"/>
                <w:b/>
                <w:bCs/>
                <w:sz w:val="22"/>
                <w:szCs w:val="22"/>
              </w:rPr>
            </w:pPr>
          </w:p>
        </w:tc>
        <w:tc>
          <w:tcPr>
            <w:tcW w:w="1890" w:type="dxa"/>
          </w:tcPr>
          <w:p w14:paraId="49FC1E48" w14:textId="5786BF47" w:rsidR="00062977" w:rsidRDefault="00062977" w:rsidP="00062977">
            <w:pPr>
              <w:jc w:val="both"/>
            </w:pPr>
            <w:r>
              <w:t>Clause 2.8.4 c</w:t>
            </w:r>
            <w:r w:rsidR="007D2D83">
              <w:t>)</w:t>
            </w:r>
            <w:r>
              <w:t>, Section-IX, Vol II, TS</w:t>
            </w:r>
          </w:p>
        </w:tc>
        <w:tc>
          <w:tcPr>
            <w:tcW w:w="5400" w:type="dxa"/>
          </w:tcPr>
          <w:p w14:paraId="395AC130" w14:textId="77777777" w:rsidR="00062977" w:rsidRPr="009C3AD7" w:rsidRDefault="00062977" w:rsidP="00062977">
            <w:r w:rsidRPr="009C3AD7">
              <w:t>The unit rate of concrete work shall include the cost of construction joints.</w:t>
            </w:r>
          </w:p>
          <w:p w14:paraId="68228845" w14:textId="77777777" w:rsidR="00062977" w:rsidRPr="007A0DB8" w:rsidRDefault="00062977" w:rsidP="00062977">
            <w:pPr>
              <w:autoSpaceDE w:val="0"/>
              <w:autoSpaceDN w:val="0"/>
              <w:adjustRightInd w:val="0"/>
            </w:pPr>
          </w:p>
        </w:tc>
        <w:tc>
          <w:tcPr>
            <w:tcW w:w="6030" w:type="dxa"/>
          </w:tcPr>
          <w:p w14:paraId="69B22FD8" w14:textId="77777777" w:rsidR="00062977" w:rsidRPr="00A37E4B" w:rsidRDefault="00062977" w:rsidP="00062977">
            <w:r w:rsidRPr="00A37E4B">
              <w:t xml:space="preserve">The </w:t>
            </w:r>
            <w:r w:rsidRPr="00E41DB9">
              <w:rPr>
                <w:b/>
                <w:bCs/>
              </w:rPr>
              <w:t>unit rate of pile foundation /</w:t>
            </w:r>
            <w:r w:rsidRPr="00A37E4B">
              <w:t xml:space="preserve"> unit rate of concrete work shall include the cost of construction joints.</w:t>
            </w:r>
          </w:p>
          <w:p w14:paraId="0FD2B049" w14:textId="77777777" w:rsidR="00062977" w:rsidRPr="001266BA" w:rsidRDefault="00062977" w:rsidP="00062977">
            <w:pPr>
              <w:autoSpaceDE w:val="0"/>
              <w:autoSpaceDN w:val="0"/>
              <w:adjustRightInd w:val="0"/>
            </w:pPr>
          </w:p>
        </w:tc>
      </w:tr>
      <w:tr w:rsidR="00062977" w:rsidRPr="00EE2EC4" w14:paraId="78ECEFA5" w14:textId="77777777" w:rsidTr="003763E2">
        <w:trPr>
          <w:trHeight w:val="239"/>
        </w:trPr>
        <w:tc>
          <w:tcPr>
            <w:tcW w:w="985" w:type="dxa"/>
          </w:tcPr>
          <w:p w14:paraId="20FFBB77" w14:textId="77777777" w:rsidR="00062977" w:rsidRPr="007C70E3" w:rsidRDefault="00062977" w:rsidP="00062977">
            <w:pPr>
              <w:pStyle w:val="ListParagraph"/>
              <w:numPr>
                <w:ilvl w:val="0"/>
                <w:numId w:val="1"/>
              </w:numPr>
              <w:ind w:hanging="567"/>
              <w:jc w:val="both"/>
              <w:rPr>
                <w:rFonts w:ascii="Palatino Linotype" w:hAnsi="Palatino Linotype"/>
                <w:b/>
                <w:bCs/>
                <w:sz w:val="22"/>
                <w:szCs w:val="22"/>
              </w:rPr>
            </w:pPr>
          </w:p>
        </w:tc>
        <w:tc>
          <w:tcPr>
            <w:tcW w:w="1890" w:type="dxa"/>
          </w:tcPr>
          <w:p w14:paraId="0DC78592" w14:textId="3D7FEA96" w:rsidR="00062977" w:rsidRDefault="00062977" w:rsidP="00062977">
            <w:pPr>
              <w:jc w:val="both"/>
            </w:pPr>
            <w:r>
              <w:t>Clause 2.11.1, Section-IX, Vol II, TS</w:t>
            </w:r>
          </w:p>
        </w:tc>
        <w:tc>
          <w:tcPr>
            <w:tcW w:w="5400" w:type="dxa"/>
          </w:tcPr>
          <w:p w14:paraId="6F574FA9" w14:textId="77777777" w:rsidR="00062977" w:rsidRPr="00A37E4B" w:rsidRDefault="00062977" w:rsidP="00062977">
            <w:r w:rsidRPr="00A37E4B">
              <w:t xml:space="preserve">The foundation bolts/ stubs, as required, for the tower structures shall be supplied by the respective tower contractor. These shall be embedded in concrete while the foundation is cast. The Contractor shall ensure the proper alignment of these bolts to match the holes in the base plate and also co-ordinate with the respective tower contractor for its correctness. The final adjustment of these bolts and their grouting are included in the scope of this contract. Grouting of block outs and the gap between the base plate and top of concrete shall be done by the Contractor after finalization of alignments. The unit rate of concreting shall include the cost of above adjustments, grouting, and skins etc. required for this purpose.  </w:t>
            </w:r>
          </w:p>
          <w:p w14:paraId="3A5BF480" w14:textId="77777777" w:rsidR="00062977" w:rsidRPr="007A0DB8" w:rsidRDefault="00062977" w:rsidP="00062977">
            <w:pPr>
              <w:autoSpaceDE w:val="0"/>
              <w:autoSpaceDN w:val="0"/>
              <w:adjustRightInd w:val="0"/>
            </w:pPr>
          </w:p>
        </w:tc>
        <w:tc>
          <w:tcPr>
            <w:tcW w:w="6030" w:type="dxa"/>
          </w:tcPr>
          <w:p w14:paraId="74BFB0C2" w14:textId="0397F811" w:rsidR="00062977" w:rsidRPr="001266BA" w:rsidRDefault="00062977" w:rsidP="00062977">
            <w:pPr>
              <w:autoSpaceDE w:val="0"/>
              <w:autoSpaceDN w:val="0"/>
              <w:adjustRightInd w:val="0"/>
            </w:pPr>
            <w:r w:rsidRPr="00A37E4B">
              <w:t xml:space="preserve">The foundation bolts/ stubs, as required, for the tower structures shall be supplied by the respective tower contractor. These shall be embedded in concrete while the foundation is cast. The Contractor shall ensure the proper alignment of these bolts to match the holes in the base plate and also co-ordinate with the respective tower contractor for its correctness. The final adjustment of these bolts and their grouting are included in the scope of this contract. Grouting of block outs and the gap between the base plate and top of concrete shall be done by the Contractor after finalization of alignments. The unit rate of concreting </w:t>
            </w:r>
            <w:r w:rsidRPr="00E41DB9">
              <w:rPr>
                <w:b/>
                <w:bCs/>
              </w:rPr>
              <w:t>/ unit rate of pile foundation</w:t>
            </w:r>
            <w:r w:rsidRPr="00A37E4B">
              <w:t xml:space="preserve"> shall include the cost of above adjustments, grouting, and skins etc. required for this purpose.</w:t>
            </w:r>
            <w:r w:rsidRPr="009C3AD7">
              <w:rPr>
                <w:sz w:val="22"/>
                <w:szCs w:val="22"/>
                <w:shd w:val="clear" w:color="auto" w:fill="FFFFFF"/>
              </w:rPr>
              <w:t xml:space="preserve">  </w:t>
            </w:r>
          </w:p>
        </w:tc>
      </w:tr>
      <w:tr w:rsidR="00256998" w:rsidRPr="00EE2EC4" w14:paraId="0AF2F3BC" w14:textId="77777777" w:rsidTr="003763E2">
        <w:trPr>
          <w:trHeight w:val="239"/>
        </w:trPr>
        <w:tc>
          <w:tcPr>
            <w:tcW w:w="985" w:type="dxa"/>
          </w:tcPr>
          <w:p w14:paraId="08C99F09" w14:textId="77777777" w:rsidR="00256998" w:rsidRPr="007C70E3" w:rsidRDefault="00256998" w:rsidP="00256998">
            <w:pPr>
              <w:pStyle w:val="ListParagraph"/>
              <w:numPr>
                <w:ilvl w:val="0"/>
                <w:numId w:val="1"/>
              </w:numPr>
              <w:ind w:hanging="567"/>
              <w:jc w:val="both"/>
              <w:rPr>
                <w:rFonts w:ascii="Palatino Linotype" w:hAnsi="Palatino Linotype"/>
                <w:b/>
                <w:bCs/>
                <w:sz w:val="22"/>
                <w:szCs w:val="22"/>
              </w:rPr>
            </w:pPr>
          </w:p>
        </w:tc>
        <w:tc>
          <w:tcPr>
            <w:tcW w:w="1890" w:type="dxa"/>
          </w:tcPr>
          <w:p w14:paraId="39E6CA5A" w14:textId="67237D31" w:rsidR="00256998" w:rsidRDefault="00256998" w:rsidP="00256998">
            <w:pPr>
              <w:jc w:val="both"/>
            </w:pPr>
            <w:r>
              <w:t>Clause 3.5.4 e</w:t>
            </w:r>
            <w:r w:rsidR="007D2D83">
              <w:t>)</w:t>
            </w:r>
            <w:r>
              <w:t xml:space="preserve"> iv</w:t>
            </w:r>
            <w:r w:rsidR="007D2D83">
              <w:t>)</w:t>
            </w:r>
            <w:r>
              <w:t>, Section-III, Vol II, TS</w:t>
            </w:r>
          </w:p>
        </w:tc>
        <w:tc>
          <w:tcPr>
            <w:tcW w:w="5400" w:type="dxa"/>
          </w:tcPr>
          <w:p w14:paraId="65EDAD5E" w14:textId="5047A44C" w:rsidR="00256998" w:rsidRPr="00A37E4B" w:rsidRDefault="00256998" w:rsidP="00256998">
            <w:r w:rsidRPr="007A0DB8">
              <w:t>No crossing shall be located over a booster transformer, traction switching</w:t>
            </w:r>
            <w:r>
              <w:t xml:space="preserve"> </w:t>
            </w:r>
            <w:r w:rsidRPr="007A0DB8">
              <w:t>station, traction sub-station, Overlap Section or a track cabin location in an</w:t>
            </w:r>
            <w:r>
              <w:t xml:space="preserve"> </w:t>
            </w:r>
            <w:r w:rsidRPr="007A0DB8">
              <w:t>electrified area. 0 % of the normal span for which the structure is designed</w:t>
            </w:r>
            <w:r>
              <w:t xml:space="preserve"> </w:t>
            </w:r>
            <w:r w:rsidRPr="007A0DB8">
              <w:t>whichever is less.</w:t>
            </w:r>
          </w:p>
        </w:tc>
        <w:tc>
          <w:tcPr>
            <w:tcW w:w="6030" w:type="dxa"/>
          </w:tcPr>
          <w:p w14:paraId="6A20E4B5" w14:textId="6776DA37" w:rsidR="00256998" w:rsidRPr="00A37E4B" w:rsidRDefault="00256998" w:rsidP="00256998">
            <w:pPr>
              <w:autoSpaceDE w:val="0"/>
              <w:autoSpaceDN w:val="0"/>
              <w:adjustRightInd w:val="0"/>
            </w:pPr>
            <w:r w:rsidRPr="001266BA">
              <w:t xml:space="preserve">No crossing shall be located over a booster transformer, traction switching station, traction sub-station, Overlap Section or a track cabin location in an electrified area. </w:t>
            </w:r>
            <w:r w:rsidRPr="00E41DB9">
              <w:rPr>
                <w:b/>
                <w:bCs/>
              </w:rPr>
              <w:t>The crossing span will be limited to 300 meters or 80</w:t>
            </w:r>
            <w:r w:rsidRPr="001266BA">
              <w:t xml:space="preserve"> % of the normal span for which the structure is designed whichever is less.</w:t>
            </w:r>
          </w:p>
        </w:tc>
      </w:tr>
      <w:tr w:rsidR="00DC69DE" w:rsidRPr="00EE2EC4" w14:paraId="76F87A51" w14:textId="77777777" w:rsidTr="003763E2">
        <w:trPr>
          <w:trHeight w:val="239"/>
        </w:trPr>
        <w:tc>
          <w:tcPr>
            <w:tcW w:w="985" w:type="dxa"/>
          </w:tcPr>
          <w:p w14:paraId="531037F0" w14:textId="77777777" w:rsidR="00DC69DE" w:rsidRPr="007C70E3" w:rsidRDefault="00DC69DE" w:rsidP="00DC69DE">
            <w:pPr>
              <w:pStyle w:val="ListParagraph"/>
              <w:numPr>
                <w:ilvl w:val="0"/>
                <w:numId w:val="1"/>
              </w:numPr>
              <w:ind w:hanging="567"/>
              <w:jc w:val="both"/>
              <w:rPr>
                <w:rFonts w:ascii="Palatino Linotype" w:hAnsi="Palatino Linotype"/>
                <w:b/>
                <w:bCs/>
                <w:sz w:val="22"/>
                <w:szCs w:val="22"/>
              </w:rPr>
            </w:pPr>
          </w:p>
        </w:tc>
        <w:tc>
          <w:tcPr>
            <w:tcW w:w="1890" w:type="dxa"/>
          </w:tcPr>
          <w:p w14:paraId="303EC416" w14:textId="73CF8BC8" w:rsidR="00DC69DE" w:rsidRDefault="00DC69DE" w:rsidP="00DC69DE">
            <w:pPr>
              <w:jc w:val="both"/>
            </w:pPr>
            <w:r>
              <w:t>Clause 1.4 A) ii), Section-IA, Vol II, TS</w:t>
            </w:r>
          </w:p>
        </w:tc>
        <w:tc>
          <w:tcPr>
            <w:tcW w:w="5400" w:type="dxa"/>
          </w:tcPr>
          <w:p w14:paraId="72F547EC" w14:textId="647B0587" w:rsidR="00DC69DE" w:rsidRPr="007A0DB8" w:rsidRDefault="00DC69DE" w:rsidP="00DC69DE">
            <w:r>
              <w:t>Sag of Top phase circuit shall not be less than 11.69m</w:t>
            </w:r>
            <w:r w:rsidR="00B3564C">
              <w:t>.</w:t>
            </w:r>
          </w:p>
        </w:tc>
        <w:tc>
          <w:tcPr>
            <w:tcW w:w="6030" w:type="dxa"/>
          </w:tcPr>
          <w:p w14:paraId="46D510F6" w14:textId="6A188186" w:rsidR="00DC69DE" w:rsidRPr="00DC69DE" w:rsidRDefault="00DC69DE" w:rsidP="00DC69DE">
            <w:pPr>
              <w:autoSpaceDE w:val="0"/>
              <w:autoSpaceDN w:val="0"/>
              <w:adjustRightInd w:val="0"/>
            </w:pPr>
            <w:r>
              <w:t xml:space="preserve">Sag of Top phase circuit shall not be less than </w:t>
            </w:r>
            <w:r w:rsidRPr="00DC69DE">
              <w:rPr>
                <w:strike/>
              </w:rPr>
              <w:t>11.69m</w:t>
            </w:r>
            <w:r>
              <w:rPr>
                <w:strike/>
              </w:rPr>
              <w:t xml:space="preserve"> </w:t>
            </w:r>
            <w:r w:rsidRPr="00DC69DE">
              <w:rPr>
                <w:b/>
                <w:bCs/>
              </w:rPr>
              <w:t>9.6</w:t>
            </w:r>
            <w:r w:rsidR="00D65754">
              <w:rPr>
                <w:b/>
                <w:bCs/>
              </w:rPr>
              <w:t>2</w:t>
            </w:r>
            <w:r w:rsidRPr="00DC69DE">
              <w:rPr>
                <w:b/>
                <w:bCs/>
              </w:rPr>
              <w:t>m</w:t>
            </w:r>
          </w:p>
        </w:tc>
      </w:tr>
      <w:tr w:rsidR="000E59D5" w:rsidRPr="00EE2EC4" w14:paraId="70D4A099" w14:textId="77777777" w:rsidTr="003763E2">
        <w:trPr>
          <w:trHeight w:val="239"/>
        </w:trPr>
        <w:tc>
          <w:tcPr>
            <w:tcW w:w="985" w:type="dxa"/>
          </w:tcPr>
          <w:p w14:paraId="442C8C4D" w14:textId="77777777" w:rsidR="000E59D5" w:rsidRPr="007C70E3" w:rsidRDefault="000E59D5" w:rsidP="00DC69DE">
            <w:pPr>
              <w:pStyle w:val="ListParagraph"/>
              <w:numPr>
                <w:ilvl w:val="0"/>
                <w:numId w:val="1"/>
              </w:numPr>
              <w:ind w:hanging="567"/>
              <w:jc w:val="both"/>
              <w:rPr>
                <w:rFonts w:ascii="Palatino Linotype" w:hAnsi="Palatino Linotype"/>
                <w:b/>
                <w:bCs/>
                <w:sz w:val="22"/>
                <w:szCs w:val="22"/>
              </w:rPr>
            </w:pPr>
          </w:p>
        </w:tc>
        <w:tc>
          <w:tcPr>
            <w:tcW w:w="1890" w:type="dxa"/>
          </w:tcPr>
          <w:p w14:paraId="7C0F4DE5" w14:textId="0506200E" w:rsidR="000E59D5" w:rsidRDefault="000E59D5" w:rsidP="00DC69DE">
            <w:pPr>
              <w:jc w:val="both"/>
            </w:pPr>
            <w:r>
              <w:t>Clause 1.5.9, Section-IVF, Vol II, TS</w:t>
            </w:r>
          </w:p>
        </w:tc>
        <w:tc>
          <w:tcPr>
            <w:tcW w:w="5400" w:type="dxa"/>
          </w:tcPr>
          <w:p w14:paraId="1BBCEF17" w14:textId="77777777" w:rsidR="000E59D5" w:rsidRPr="000E59D5" w:rsidRDefault="000E59D5" w:rsidP="000E59D5">
            <w:pPr>
              <w:autoSpaceDE w:val="0"/>
              <w:autoSpaceDN w:val="0"/>
              <w:adjustRightInd w:val="0"/>
            </w:pPr>
            <w:r w:rsidRPr="000E59D5">
              <w:t xml:space="preserve">The length of any individual segment shall be such that it can be easily transported and erected. All similar parts shall be made strictly inter-changeable. Pole segments, as far as possible, shall be fabricated in single piece. In case of restriction due to the size of hot dip </w:t>
            </w:r>
            <w:proofErr w:type="spellStart"/>
            <w:r w:rsidRPr="000E59D5">
              <w:t>galvanising</w:t>
            </w:r>
            <w:proofErr w:type="spellEnd"/>
            <w:r w:rsidRPr="000E59D5">
              <w:t xml:space="preserve"> bath, pole segments having outer diameter more than 1m may be fabricated in two halves and seamlessly welded after </w:t>
            </w:r>
            <w:proofErr w:type="spellStart"/>
            <w:r w:rsidRPr="000E59D5">
              <w:t>galvanising</w:t>
            </w:r>
            <w:proofErr w:type="spellEnd"/>
            <w:r w:rsidRPr="000E59D5">
              <w:t xml:space="preserve">. </w:t>
            </w:r>
          </w:p>
          <w:p w14:paraId="3A2D10BC" w14:textId="77777777" w:rsidR="000E59D5" w:rsidRPr="000E59D5" w:rsidRDefault="000E59D5" w:rsidP="000E59D5">
            <w:pPr>
              <w:numPr>
                <w:ilvl w:val="0"/>
                <w:numId w:val="7"/>
              </w:numPr>
              <w:autoSpaceDE w:val="0"/>
              <w:autoSpaceDN w:val="0"/>
              <w:adjustRightInd w:val="0"/>
              <w:rPr>
                <w:rFonts w:ascii="Calibri" w:hAnsi="Calibri" w:cs="Calibri"/>
                <w:color w:val="000000"/>
                <w:sz w:val="23"/>
                <w:szCs w:val="23"/>
                <w:lang w:eastAsia="en-IN" w:bidi="hi-IN"/>
              </w:rPr>
            </w:pPr>
          </w:p>
          <w:p w14:paraId="6DE7CBCB" w14:textId="77777777" w:rsidR="000E59D5" w:rsidRPr="000E59D5" w:rsidRDefault="000E59D5" w:rsidP="000E59D5">
            <w:pPr>
              <w:numPr>
                <w:ilvl w:val="0"/>
                <w:numId w:val="7"/>
              </w:numPr>
              <w:autoSpaceDE w:val="0"/>
              <w:autoSpaceDN w:val="0"/>
              <w:adjustRightInd w:val="0"/>
              <w:rPr>
                <w:rFonts w:ascii="Calibri" w:hAnsi="Calibri" w:cs="Calibri"/>
                <w:color w:val="000000"/>
                <w:sz w:val="23"/>
                <w:szCs w:val="23"/>
                <w:lang w:eastAsia="en-IN" w:bidi="hi-IN"/>
              </w:rPr>
            </w:pPr>
          </w:p>
          <w:p w14:paraId="722C47EB" w14:textId="77777777" w:rsidR="000E59D5" w:rsidRDefault="000E59D5" w:rsidP="00DC69DE"/>
        </w:tc>
        <w:tc>
          <w:tcPr>
            <w:tcW w:w="6030" w:type="dxa"/>
          </w:tcPr>
          <w:p w14:paraId="4D36D2D3" w14:textId="65A6F066" w:rsidR="000E59D5" w:rsidRDefault="000E59D5" w:rsidP="00DC69DE">
            <w:pPr>
              <w:autoSpaceDE w:val="0"/>
              <w:autoSpaceDN w:val="0"/>
              <w:adjustRightInd w:val="0"/>
            </w:pPr>
            <w:r w:rsidRPr="000E59D5">
              <w:t xml:space="preserve">The length of any individual segment shall be such that it can be easily transported and erected. All similar parts shall be made strictly inter-changeable. Pole segments, as far as possible, shall be fabricated in single piece. </w:t>
            </w:r>
            <w:r w:rsidRPr="000E59D5">
              <w:rPr>
                <w:strike/>
              </w:rPr>
              <w:t xml:space="preserve">In case of restriction due to the size of hot dip </w:t>
            </w:r>
            <w:proofErr w:type="spellStart"/>
            <w:r w:rsidRPr="000E59D5">
              <w:rPr>
                <w:strike/>
              </w:rPr>
              <w:t>galvanising</w:t>
            </w:r>
            <w:proofErr w:type="spellEnd"/>
            <w:r w:rsidRPr="000E59D5">
              <w:rPr>
                <w:strike/>
              </w:rPr>
              <w:t xml:space="preserve"> bath, pole segments having outer diameter more than 1m may be fabricated in two halves and seamlessly welded after galvanizing.</w:t>
            </w:r>
          </w:p>
          <w:p w14:paraId="7E9E2FFE" w14:textId="77777777" w:rsidR="000E59D5" w:rsidRPr="00E107F1" w:rsidRDefault="000E59D5" w:rsidP="00DC69DE">
            <w:pPr>
              <w:autoSpaceDE w:val="0"/>
              <w:autoSpaceDN w:val="0"/>
              <w:adjustRightInd w:val="0"/>
              <w:rPr>
                <w:b/>
                <w:bCs/>
              </w:rPr>
            </w:pPr>
            <w:r w:rsidRPr="00E107F1">
              <w:rPr>
                <w:b/>
                <w:bCs/>
              </w:rPr>
              <w:t>Higher diameter pole segments may be fabricated in two or more parts and kept minimum. The maximum permissible parts shall be as per follows:</w:t>
            </w:r>
          </w:p>
          <w:tbl>
            <w:tblPr>
              <w:tblW w:w="5000" w:type="pct"/>
              <w:tblLook w:val="04A0" w:firstRow="1" w:lastRow="0" w:firstColumn="1" w:lastColumn="0" w:noHBand="0" w:noVBand="1"/>
            </w:tblPr>
            <w:tblGrid>
              <w:gridCol w:w="458"/>
              <w:gridCol w:w="3601"/>
              <w:gridCol w:w="1745"/>
            </w:tblGrid>
            <w:tr w:rsidR="000E59D5" w:rsidRPr="00E107F1" w14:paraId="0ECACC57" w14:textId="77777777" w:rsidTr="000E59D5">
              <w:trPr>
                <w:trHeight w:val="855"/>
              </w:trPr>
              <w:tc>
                <w:tcPr>
                  <w:tcW w:w="395" w:type="pct"/>
                  <w:tcBorders>
                    <w:top w:val="single" w:sz="4" w:space="0" w:color="auto"/>
                    <w:left w:val="single" w:sz="4" w:space="0" w:color="auto"/>
                    <w:bottom w:val="single" w:sz="4" w:space="0" w:color="auto"/>
                    <w:right w:val="single" w:sz="4" w:space="0" w:color="auto"/>
                  </w:tcBorders>
                  <w:vAlign w:val="center"/>
                  <w:hideMark/>
                </w:tcPr>
                <w:p w14:paraId="005B647C" w14:textId="77777777" w:rsidR="000E59D5" w:rsidRPr="00E107F1" w:rsidRDefault="000E59D5" w:rsidP="000E59D5">
                  <w:pPr>
                    <w:spacing w:line="256" w:lineRule="auto"/>
                    <w:jc w:val="center"/>
                    <w:rPr>
                      <w:rFonts w:ascii="Calibri" w:hAnsi="Calibri" w:cs="Calibri"/>
                      <w:b/>
                      <w:bCs/>
                      <w:color w:val="000000"/>
                      <w:sz w:val="22"/>
                      <w:szCs w:val="22"/>
                      <w:lang w:bidi="hi-IN"/>
                    </w:rPr>
                  </w:pPr>
                  <w:r w:rsidRPr="00E107F1">
                    <w:rPr>
                      <w:rFonts w:ascii="Calibri" w:hAnsi="Calibri" w:cs="Calibri"/>
                      <w:b/>
                      <w:bCs/>
                      <w:color w:val="000000"/>
                      <w:sz w:val="22"/>
                      <w:szCs w:val="22"/>
                    </w:rPr>
                    <w:t>Sr no</w:t>
                  </w:r>
                </w:p>
              </w:tc>
              <w:tc>
                <w:tcPr>
                  <w:tcW w:w="3100" w:type="pct"/>
                  <w:tcBorders>
                    <w:top w:val="single" w:sz="4" w:space="0" w:color="auto"/>
                    <w:left w:val="nil"/>
                    <w:bottom w:val="single" w:sz="4" w:space="0" w:color="auto"/>
                    <w:right w:val="single" w:sz="4" w:space="0" w:color="auto"/>
                  </w:tcBorders>
                  <w:vAlign w:val="center"/>
                  <w:hideMark/>
                </w:tcPr>
                <w:p w14:paraId="4D2A88E4" w14:textId="77777777" w:rsidR="000E59D5" w:rsidRPr="00E107F1" w:rsidRDefault="000E59D5" w:rsidP="000E59D5">
                  <w:pPr>
                    <w:spacing w:line="256" w:lineRule="auto"/>
                    <w:jc w:val="center"/>
                    <w:rPr>
                      <w:rFonts w:ascii="Calibri" w:hAnsi="Calibri" w:cs="Calibri"/>
                      <w:b/>
                      <w:bCs/>
                      <w:color w:val="000000"/>
                      <w:sz w:val="22"/>
                      <w:szCs w:val="22"/>
                    </w:rPr>
                  </w:pPr>
                  <w:proofErr w:type="spellStart"/>
                  <w:r w:rsidRPr="00E107F1">
                    <w:rPr>
                      <w:rFonts w:ascii="Calibri" w:hAnsi="Calibri" w:cs="Calibri"/>
                      <w:b/>
                      <w:bCs/>
                      <w:color w:val="000000"/>
                      <w:sz w:val="22"/>
                      <w:szCs w:val="22"/>
                    </w:rPr>
                    <w:t>Ouer</w:t>
                  </w:r>
                  <w:proofErr w:type="spellEnd"/>
                  <w:r w:rsidRPr="00E107F1">
                    <w:rPr>
                      <w:rFonts w:ascii="Calibri" w:hAnsi="Calibri" w:cs="Calibri"/>
                      <w:b/>
                      <w:bCs/>
                      <w:color w:val="000000"/>
                      <w:sz w:val="22"/>
                      <w:szCs w:val="22"/>
                    </w:rPr>
                    <w:t xml:space="preserve"> </w:t>
                  </w:r>
                  <w:proofErr w:type="spellStart"/>
                  <w:r w:rsidRPr="00E107F1">
                    <w:rPr>
                      <w:rFonts w:ascii="Calibri" w:hAnsi="Calibri" w:cs="Calibri"/>
                      <w:b/>
                      <w:bCs/>
                      <w:color w:val="000000"/>
                      <w:sz w:val="22"/>
                      <w:szCs w:val="22"/>
                    </w:rPr>
                    <w:t>dia</w:t>
                  </w:r>
                  <w:proofErr w:type="spellEnd"/>
                  <w:r w:rsidRPr="00E107F1">
                    <w:rPr>
                      <w:rFonts w:ascii="Calibri" w:hAnsi="Calibri" w:cs="Calibri"/>
                      <w:b/>
                      <w:bCs/>
                      <w:color w:val="000000"/>
                      <w:sz w:val="22"/>
                      <w:szCs w:val="22"/>
                    </w:rPr>
                    <w:t xml:space="preserve"> of pole segment</w:t>
                  </w:r>
                </w:p>
                <w:p w14:paraId="73D2743C" w14:textId="77777777" w:rsidR="000E59D5" w:rsidRPr="00E107F1" w:rsidRDefault="000E59D5" w:rsidP="000E59D5">
                  <w:pPr>
                    <w:spacing w:line="256" w:lineRule="auto"/>
                    <w:jc w:val="center"/>
                    <w:rPr>
                      <w:rFonts w:ascii="Calibri" w:hAnsi="Calibri" w:cs="Calibri"/>
                      <w:b/>
                      <w:bCs/>
                      <w:color w:val="000000"/>
                      <w:sz w:val="22"/>
                      <w:szCs w:val="22"/>
                    </w:rPr>
                  </w:pPr>
                  <w:r w:rsidRPr="00E107F1">
                    <w:rPr>
                      <w:rFonts w:ascii="Calibri" w:hAnsi="Calibri" w:cs="Calibri"/>
                      <w:b/>
                      <w:bCs/>
                      <w:color w:val="000000"/>
                      <w:sz w:val="22"/>
                      <w:szCs w:val="22"/>
                    </w:rPr>
                    <w:t>(mm)</w:t>
                  </w:r>
                </w:p>
              </w:tc>
              <w:tc>
                <w:tcPr>
                  <w:tcW w:w="1504" w:type="pct"/>
                  <w:tcBorders>
                    <w:top w:val="single" w:sz="4" w:space="0" w:color="auto"/>
                    <w:left w:val="nil"/>
                    <w:bottom w:val="single" w:sz="4" w:space="0" w:color="auto"/>
                    <w:right w:val="single" w:sz="4" w:space="0" w:color="auto"/>
                  </w:tcBorders>
                  <w:vAlign w:val="center"/>
                  <w:hideMark/>
                </w:tcPr>
                <w:p w14:paraId="6BC20F1D" w14:textId="77777777" w:rsidR="000E59D5" w:rsidRPr="00E107F1" w:rsidRDefault="000E59D5" w:rsidP="000E59D5">
                  <w:pPr>
                    <w:spacing w:line="256" w:lineRule="auto"/>
                    <w:jc w:val="center"/>
                    <w:rPr>
                      <w:rFonts w:ascii="Calibri" w:hAnsi="Calibri" w:cs="Calibri"/>
                      <w:b/>
                      <w:bCs/>
                      <w:color w:val="000000"/>
                      <w:sz w:val="22"/>
                      <w:szCs w:val="22"/>
                    </w:rPr>
                  </w:pPr>
                  <w:r w:rsidRPr="00E107F1">
                    <w:rPr>
                      <w:rFonts w:ascii="Calibri" w:hAnsi="Calibri" w:cs="Calibri"/>
                      <w:b/>
                      <w:bCs/>
                      <w:color w:val="000000"/>
                      <w:sz w:val="22"/>
                      <w:szCs w:val="22"/>
                    </w:rPr>
                    <w:t>Max permissible no of fabricated parts per pole segment/seams</w:t>
                  </w:r>
                </w:p>
              </w:tc>
            </w:tr>
            <w:tr w:rsidR="000E59D5" w:rsidRPr="00E107F1" w14:paraId="1250BA28" w14:textId="77777777" w:rsidTr="000E59D5">
              <w:trPr>
                <w:trHeight w:val="300"/>
              </w:trPr>
              <w:tc>
                <w:tcPr>
                  <w:tcW w:w="395" w:type="pct"/>
                  <w:tcBorders>
                    <w:top w:val="nil"/>
                    <w:left w:val="single" w:sz="4" w:space="0" w:color="auto"/>
                    <w:bottom w:val="single" w:sz="4" w:space="0" w:color="auto"/>
                    <w:right w:val="single" w:sz="4" w:space="0" w:color="auto"/>
                  </w:tcBorders>
                  <w:noWrap/>
                  <w:vAlign w:val="center"/>
                  <w:hideMark/>
                </w:tcPr>
                <w:p w14:paraId="150DE260" w14:textId="77777777" w:rsidR="000E59D5" w:rsidRPr="00E107F1" w:rsidRDefault="000E59D5" w:rsidP="000E59D5">
                  <w:pPr>
                    <w:spacing w:line="256" w:lineRule="auto"/>
                    <w:jc w:val="center"/>
                    <w:rPr>
                      <w:rFonts w:ascii="Calibri" w:hAnsi="Calibri" w:cs="Calibri"/>
                      <w:b/>
                      <w:bCs/>
                      <w:color w:val="000000"/>
                      <w:sz w:val="22"/>
                      <w:szCs w:val="22"/>
                    </w:rPr>
                  </w:pPr>
                  <w:r w:rsidRPr="00E107F1">
                    <w:rPr>
                      <w:rFonts w:ascii="Calibri" w:hAnsi="Calibri" w:cs="Calibri"/>
                      <w:b/>
                      <w:bCs/>
                      <w:color w:val="000000"/>
                      <w:sz w:val="22"/>
                      <w:szCs w:val="22"/>
                    </w:rPr>
                    <w:t>1</w:t>
                  </w:r>
                </w:p>
              </w:tc>
              <w:tc>
                <w:tcPr>
                  <w:tcW w:w="3100" w:type="pct"/>
                  <w:tcBorders>
                    <w:top w:val="nil"/>
                    <w:left w:val="nil"/>
                    <w:bottom w:val="single" w:sz="4" w:space="0" w:color="auto"/>
                    <w:right w:val="single" w:sz="4" w:space="0" w:color="auto"/>
                  </w:tcBorders>
                  <w:noWrap/>
                  <w:vAlign w:val="center"/>
                  <w:hideMark/>
                </w:tcPr>
                <w:p w14:paraId="50B23C43" w14:textId="77777777" w:rsidR="000E59D5" w:rsidRPr="00E107F1" w:rsidRDefault="000E59D5" w:rsidP="000E59D5">
                  <w:pPr>
                    <w:spacing w:line="256" w:lineRule="auto"/>
                    <w:jc w:val="center"/>
                    <w:rPr>
                      <w:rFonts w:ascii="Calibri" w:hAnsi="Calibri" w:cs="Calibri"/>
                      <w:b/>
                      <w:bCs/>
                      <w:color w:val="000000"/>
                      <w:sz w:val="22"/>
                      <w:szCs w:val="22"/>
                    </w:rPr>
                  </w:pPr>
                  <w:r w:rsidRPr="00E107F1">
                    <w:rPr>
                      <w:rFonts w:ascii="Calibri" w:hAnsi="Calibri" w:cs="Calibri"/>
                      <w:b/>
                      <w:bCs/>
                      <w:color w:val="000000"/>
                      <w:sz w:val="22"/>
                      <w:szCs w:val="22"/>
                    </w:rPr>
                    <w:t>upto to 600</w:t>
                  </w:r>
                </w:p>
              </w:tc>
              <w:tc>
                <w:tcPr>
                  <w:tcW w:w="1504" w:type="pct"/>
                  <w:tcBorders>
                    <w:top w:val="nil"/>
                    <w:left w:val="nil"/>
                    <w:bottom w:val="single" w:sz="4" w:space="0" w:color="auto"/>
                    <w:right w:val="single" w:sz="4" w:space="0" w:color="auto"/>
                  </w:tcBorders>
                  <w:noWrap/>
                  <w:vAlign w:val="center"/>
                  <w:hideMark/>
                </w:tcPr>
                <w:p w14:paraId="60BEC9CD" w14:textId="77777777" w:rsidR="000E59D5" w:rsidRPr="00E107F1" w:rsidRDefault="000E59D5" w:rsidP="000E59D5">
                  <w:pPr>
                    <w:spacing w:line="256" w:lineRule="auto"/>
                    <w:jc w:val="center"/>
                    <w:rPr>
                      <w:rFonts w:ascii="Calibri" w:hAnsi="Calibri" w:cs="Calibri"/>
                      <w:b/>
                      <w:bCs/>
                      <w:color w:val="000000"/>
                      <w:sz w:val="22"/>
                      <w:szCs w:val="22"/>
                    </w:rPr>
                  </w:pPr>
                  <w:r w:rsidRPr="00E107F1">
                    <w:rPr>
                      <w:rFonts w:ascii="Calibri" w:hAnsi="Calibri" w:cs="Calibri"/>
                      <w:b/>
                      <w:bCs/>
                      <w:color w:val="000000"/>
                      <w:sz w:val="22"/>
                      <w:szCs w:val="22"/>
                    </w:rPr>
                    <w:t>1</w:t>
                  </w:r>
                </w:p>
              </w:tc>
            </w:tr>
            <w:tr w:rsidR="000E59D5" w:rsidRPr="00E107F1" w14:paraId="1D2839AC" w14:textId="77777777" w:rsidTr="000E59D5">
              <w:trPr>
                <w:trHeight w:val="300"/>
              </w:trPr>
              <w:tc>
                <w:tcPr>
                  <w:tcW w:w="395" w:type="pct"/>
                  <w:tcBorders>
                    <w:top w:val="nil"/>
                    <w:left w:val="single" w:sz="4" w:space="0" w:color="auto"/>
                    <w:bottom w:val="single" w:sz="4" w:space="0" w:color="auto"/>
                    <w:right w:val="single" w:sz="4" w:space="0" w:color="auto"/>
                  </w:tcBorders>
                  <w:noWrap/>
                  <w:vAlign w:val="center"/>
                  <w:hideMark/>
                </w:tcPr>
                <w:p w14:paraId="3E024D99" w14:textId="77777777" w:rsidR="000E59D5" w:rsidRPr="00E107F1" w:rsidRDefault="000E59D5" w:rsidP="000E59D5">
                  <w:pPr>
                    <w:spacing w:line="256" w:lineRule="auto"/>
                    <w:jc w:val="center"/>
                    <w:rPr>
                      <w:rFonts w:ascii="Calibri" w:hAnsi="Calibri" w:cs="Calibri"/>
                      <w:b/>
                      <w:bCs/>
                      <w:color w:val="000000"/>
                      <w:sz w:val="22"/>
                      <w:szCs w:val="22"/>
                    </w:rPr>
                  </w:pPr>
                  <w:r w:rsidRPr="00E107F1">
                    <w:rPr>
                      <w:rFonts w:ascii="Calibri" w:hAnsi="Calibri" w:cs="Calibri"/>
                      <w:b/>
                      <w:bCs/>
                      <w:color w:val="000000"/>
                      <w:sz w:val="22"/>
                      <w:szCs w:val="22"/>
                    </w:rPr>
                    <w:t>2</w:t>
                  </w:r>
                </w:p>
              </w:tc>
              <w:tc>
                <w:tcPr>
                  <w:tcW w:w="3100" w:type="pct"/>
                  <w:tcBorders>
                    <w:top w:val="nil"/>
                    <w:left w:val="nil"/>
                    <w:bottom w:val="single" w:sz="4" w:space="0" w:color="auto"/>
                    <w:right w:val="single" w:sz="4" w:space="0" w:color="auto"/>
                  </w:tcBorders>
                  <w:noWrap/>
                  <w:vAlign w:val="center"/>
                  <w:hideMark/>
                </w:tcPr>
                <w:p w14:paraId="7967C1D7" w14:textId="77777777" w:rsidR="000E59D5" w:rsidRPr="00E107F1" w:rsidRDefault="000E59D5" w:rsidP="000E59D5">
                  <w:pPr>
                    <w:spacing w:line="256" w:lineRule="auto"/>
                    <w:jc w:val="center"/>
                    <w:rPr>
                      <w:rFonts w:ascii="Calibri" w:hAnsi="Calibri" w:cs="Calibri"/>
                      <w:b/>
                      <w:bCs/>
                      <w:color w:val="000000"/>
                      <w:sz w:val="22"/>
                      <w:szCs w:val="22"/>
                    </w:rPr>
                  </w:pPr>
                  <w:r w:rsidRPr="00E107F1">
                    <w:rPr>
                      <w:rFonts w:ascii="Calibri" w:hAnsi="Calibri" w:cs="Calibri"/>
                      <w:b/>
                      <w:bCs/>
                      <w:color w:val="000000"/>
                      <w:sz w:val="22"/>
                      <w:szCs w:val="22"/>
                    </w:rPr>
                    <w:t>greater than 600 and upto 1200</w:t>
                  </w:r>
                </w:p>
              </w:tc>
              <w:tc>
                <w:tcPr>
                  <w:tcW w:w="1504" w:type="pct"/>
                  <w:tcBorders>
                    <w:top w:val="nil"/>
                    <w:left w:val="nil"/>
                    <w:bottom w:val="single" w:sz="4" w:space="0" w:color="auto"/>
                    <w:right w:val="single" w:sz="4" w:space="0" w:color="auto"/>
                  </w:tcBorders>
                  <w:noWrap/>
                  <w:vAlign w:val="center"/>
                  <w:hideMark/>
                </w:tcPr>
                <w:p w14:paraId="1C845E74" w14:textId="77777777" w:rsidR="000E59D5" w:rsidRPr="00E107F1" w:rsidRDefault="000E59D5" w:rsidP="000E59D5">
                  <w:pPr>
                    <w:spacing w:line="256" w:lineRule="auto"/>
                    <w:jc w:val="center"/>
                    <w:rPr>
                      <w:rFonts w:ascii="Calibri" w:hAnsi="Calibri" w:cs="Calibri"/>
                      <w:b/>
                      <w:bCs/>
                      <w:color w:val="000000"/>
                      <w:sz w:val="22"/>
                      <w:szCs w:val="22"/>
                    </w:rPr>
                  </w:pPr>
                  <w:r w:rsidRPr="00E107F1">
                    <w:rPr>
                      <w:rFonts w:ascii="Calibri" w:hAnsi="Calibri" w:cs="Calibri"/>
                      <w:b/>
                      <w:bCs/>
                      <w:color w:val="000000"/>
                      <w:sz w:val="22"/>
                      <w:szCs w:val="22"/>
                    </w:rPr>
                    <w:t>2</w:t>
                  </w:r>
                </w:p>
              </w:tc>
            </w:tr>
            <w:tr w:rsidR="000E59D5" w:rsidRPr="00E107F1" w14:paraId="0493AD1A" w14:textId="77777777" w:rsidTr="000E59D5">
              <w:trPr>
                <w:trHeight w:val="300"/>
              </w:trPr>
              <w:tc>
                <w:tcPr>
                  <w:tcW w:w="395" w:type="pct"/>
                  <w:tcBorders>
                    <w:top w:val="nil"/>
                    <w:left w:val="single" w:sz="4" w:space="0" w:color="auto"/>
                    <w:bottom w:val="single" w:sz="4" w:space="0" w:color="auto"/>
                    <w:right w:val="single" w:sz="4" w:space="0" w:color="auto"/>
                  </w:tcBorders>
                  <w:noWrap/>
                  <w:vAlign w:val="center"/>
                  <w:hideMark/>
                </w:tcPr>
                <w:p w14:paraId="2B39316F" w14:textId="77777777" w:rsidR="000E59D5" w:rsidRPr="00E107F1" w:rsidRDefault="000E59D5" w:rsidP="000E59D5">
                  <w:pPr>
                    <w:spacing w:line="256" w:lineRule="auto"/>
                    <w:jc w:val="center"/>
                    <w:rPr>
                      <w:rFonts w:ascii="Calibri" w:hAnsi="Calibri" w:cs="Calibri"/>
                      <w:b/>
                      <w:bCs/>
                      <w:color w:val="000000"/>
                      <w:sz w:val="22"/>
                      <w:szCs w:val="22"/>
                    </w:rPr>
                  </w:pPr>
                  <w:r w:rsidRPr="00E107F1">
                    <w:rPr>
                      <w:rFonts w:ascii="Calibri" w:hAnsi="Calibri" w:cs="Calibri"/>
                      <w:b/>
                      <w:bCs/>
                      <w:color w:val="000000"/>
                      <w:sz w:val="22"/>
                      <w:szCs w:val="22"/>
                    </w:rPr>
                    <w:t>3</w:t>
                  </w:r>
                </w:p>
              </w:tc>
              <w:tc>
                <w:tcPr>
                  <w:tcW w:w="3100" w:type="pct"/>
                  <w:tcBorders>
                    <w:top w:val="nil"/>
                    <w:left w:val="nil"/>
                    <w:bottom w:val="single" w:sz="4" w:space="0" w:color="auto"/>
                    <w:right w:val="single" w:sz="4" w:space="0" w:color="auto"/>
                  </w:tcBorders>
                  <w:noWrap/>
                  <w:vAlign w:val="center"/>
                  <w:hideMark/>
                </w:tcPr>
                <w:p w14:paraId="4C2A40C5" w14:textId="77777777" w:rsidR="000E59D5" w:rsidRPr="00E107F1" w:rsidRDefault="000E59D5" w:rsidP="000E59D5">
                  <w:pPr>
                    <w:spacing w:line="256" w:lineRule="auto"/>
                    <w:jc w:val="center"/>
                    <w:rPr>
                      <w:rFonts w:ascii="Calibri" w:hAnsi="Calibri" w:cs="Calibri"/>
                      <w:b/>
                      <w:bCs/>
                      <w:color w:val="000000"/>
                      <w:sz w:val="22"/>
                      <w:szCs w:val="22"/>
                    </w:rPr>
                  </w:pPr>
                  <w:r w:rsidRPr="00E107F1">
                    <w:rPr>
                      <w:rFonts w:ascii="Calibri" w:hAnsi="Calibri" w:cs="Calibri"/>
                      <w:b/>
                      <w:bCs/>
                      <w:color w:val="000000"/>
                      <w:sz w:val="22"/>
                      <w:szCs w:val="22"/>
                    </w:rPr>
                    <w:t>greater than 1200 and less than 2000</w:t>
                  </w:r>
                </w:p>
              </w:tc>
              <w:tc>
                <w:tcPr>
                  <w:tcW w:w="1504" w:type="pct"/>
                  <w:tcBorders>
                    <w:top w:val="nil"/>
                    <w:left w:val="nil"/>
                    <w:bottom w:val="single" w:sz="4" w:space="0" w:color="auto"/>
                    <w:right w:val="single" w:sz="4" w:space="0" w:color="auto"/>
                  </w:tcBorders>
                  <w:noWrap/>
                  <w:vAlign w:val="center"/>
                  <w:hideMark/>
                </w:tcPr>
                <w:p w14:paraId="0C03B06B" w14:textId="77777777" w:rsidR="000E59D5" w:rsidRPr="00E107F1" w:rsidRDefault="000E59D5" w:rsidP="000E59D5">
                  <w:pPr>
                    <w:spacing w:line="256" w:lineRule="auto"/>
                    <w:jc w:val="center"/>
                    <w:rPr>
                      <w:rFonts w:ascii="Calibri" w:hAnsi="Calibri" w:cs="Calibri"/>
                      <w:b/>
                      <w:bCs/>
                      <w:color w:val="000000"/>
                      <w:sz w:val="22"/>
                      <w:szCs w:val="22"/>
                    </w:rPr>
                  </w:pPr>
                  <w:r w:rsidRPr="00E107F1">
                    <w:rPr>
                      <w:rFonts w:ascii="Calibri" w:hAnsi="Calibri" w:cs="Calibri"/>
                      <w:b/>
                      <w:bCs/>
                      <w:color w:val="000000"/>
                      <w:sz w:val="22"/>
                      <w:szCs w:val="22"/>
                    </w:rPr>
                    <w:t>3</w:t>
                  </w:r>
                </w:p>
              </w:tc>
            </w:tr>
            <w:tr w:rsidR="000E59D5" w:rsidRPr="00E107F1" w14:paraId="19243C0D" w14:textId="77777777" w:rsidTr="000E59D5">
              <w:trPr>
                <w:trHeight w:val="300"/>
              </w:trPr>
              <w:tc>
                <w:tcPr>
                  <w:tcW w:w="395" w:type="pct"/>
                  <w:tcBorders>
                    <w:top w:val="nil"/>
                    <w:left w:val="single" w:sz="4" w:space="0" w:color="auto"/>
                    <w:bottom w:val="single" w:sz="4" w:space="0" w:color="auto"/>
                    <w:right w:val="single" w:sz="4" w:space="0" w:color="auto"/>
                  </w:tcBorders>
                  <w:noWrap/>
                  <w:vAlign w:val="center"/>
                  <w:hideMark/>
                </w:tcPr>
                <w:p w14:paraId="306462B6" w14:textId="77777777" w:rsidR="000E59D5" w:rsidRPr="00E107F1" w:rsidRDefault="000E59D5" w:rsidP="000E59D5">
                  <w:pPr>
                    <w:spacing w:line="256" w:lineRule="auto"/>
                    <w:jc w:val="center"/>
                    <w:rPr>
                      <w:rFonts w:ascii="Calibri" w:hAnsi="Calibri" w:cs="Calibri"/>
                      <w:b/>
                      <w:bCs/>
                      <w:color w:val="000000"/>
                      <w:sz w:val="22"/>
                      <w:szCs w:val="22"/>
                    </w:rPr>
                  </w:pPr>
                  <w:r w:rsidRPr="00E107F1">
                    <w:rPr>
                      <w:rFonts w:ascii="Calibri" w:hAnsi="Calibri" w:cs="Calibri"/>
                      <w:b/>
                      <w:bCs/>
                      <w:color w:val="000000"/>
                      <w:sz w:val="22"/>
                      <w:szCs w:val="22"/>
                    </w:rPr>
                    <w:t>4</w:t>
                  </w:r>
                </w:p>
              </w:tc>
              <w:tc>
                <w:tcPr>
                  <w:tcW w:w="3100" w:type="pct"/>
                  <w:tcBorders>
                    <w:top w:val="nil"/>
                    <w:left w:val="nil"/>
                    <w:bottom w:val="single" w:sz="4" w:space="0" w:color="auto"/>
                    <w:right w:val="single" w:sz="4" w:space="0" w:color="auto"/>
                  </w:tcBorders>
                  <w:noWrap/>
                  <w:vAlign w:val="center"/>
                  <w:hideMark/>
                </w:tcPr>
                <w:p w14:paraId="162BB6AA" w14:textId="77777777" w:rsidR="000E59D5" w:rsidRPr="00E107F1" w:rsidRDefault="000E59D5" w:rsidP="000E59D5">
                  <w:pPr>
                    <w:spacing w:line="256" w:lineRule="auto"/>
                    <w:jc w:val="center"/>
                    <w:rPr>
                      <w:rFonts w:ascii="Calibri" w:hAnsi="Calibri" w:cs="Calibri"/>
                      <w:b/>
                      <w:bCs/>
                      <w:color w:val="000000"/>
                      <w:sz w:val="22"/>
                      <w:szCs w:val="22"/>
                    </w:rPr>
                  </w:pPr>
                  <w:r w:rsidRPr="00E107F1">
                    <w:rPr>
                      <w:rFonts w:ascii="Calibri" w:hAnsi="Calibri" w:cs="Calibri"/>
                      <w:b/>
                      <w:bCs/>
                      <w:color w:val="000000"/>
                      <w:sz w:val="22"/>
                      <w:szCs w:val="22"/>
                    </w:rPr>
                    <w:t>greater and equal to 2000</w:t>
                  </w:r>
                </w:p>
              </w:tc>
              <w:tc>
                <w:tcPr>
                  <w:tcW w:w="1504" w:type="pct"/>
                  <w:tcBorders>
                    <w:top w:val="nil"/>
                    <w:left w:val="nil"/>
                    <w:bottom w:val="single" w:sz="4" w:space="0" w:color="auto"/>
                    <w:right w:val="single" w:sz="4" w:space="0" w:color="auto"/>
                  </w:tcBorders>
                  <w:noWrap/>
                  <w:vAlign w:val="center"/>
                  <w:hideMark/>
                </w:tcPr>
                <w:p w14:paraId="260B435E" w14:textId="77777777" w:rsidR="000E59D5" w:rsidRPr="00E107F1" w:rsidRDefault="000E59D5" w:rsidP="000E59D5">
                  <w:pPr>
                    <w:spacing w:line="256" w:lineRule="auto"/>
                    <w:jc w:val="center"/>
                    <w:rPr>
                      <w:rFonts w:ascii="Calibri" w:hAnsi="Calibri" w:cs="Calibri"/>
                      <w:b/>
                      <w:bCs/>
                      <w:color w:val="000000"/>
                      <w:sz w:val="22"/>
                      <w:szCs w:val="22"/>
                    </w:rPr>
                  </w:pPr>
                  <w:r w:rsidRPr="00E107F1">
                    <w:rPr>
                      <w:rFonts w:ascii="Calibri" w:hAnsi="Calibri" w:cs="Calibri"/>
                      <w:b/>
                      <w:bCs/>
                      <w:color w:val="000000"/>
                      <w:sz w:val="22"/>
                      <w:szCs w:val="22"/>
                    </w:rPr>
                    <w:t>4</w:t>
                  </w:r>
                </w:p>
              </w:tc>
            </w:tr>
          </w:tbl>
          <w:p w14:paraId="27CFFAC8" w14:textId="61A12891" w:rsidR="000E59D5" w:rsidRDefault="000E59D5" w:rsidP="00DC69DE">
            <w:pPr>
              <w:autoSpaceDE w:val="0"/>
              <w:autoSpaceDN w:val="0"/>
              <w:adjustRightInd w:val="0"/>
            </w:pPr>
          </w:p>
        </w:tc>
      </w:tr>
      <w:tr w:rsidR="000E59D5" w:rsidRPr="00EE2EC4" w14:paraId="0CCCDFD1" w14:textId="77777777" w:rsidTr="003763E2">
        <w:trPr>
          <w:trHeight w:val="239"/>
        </w:trPr>
        <w:tc>
          <w:tcPr>
            <w:tcW w:w="985" w:type="dxa"/>
          </w:tcPr>
          <w:p w14:paraId="5A2A8BD9" w14:textId="77777777" w:rsidR="000E59D5" w:rsidRPr="007C70E3" w:rsidRDefault="000E59D5" w:rsidP="000E59D5">
            <w:pPr>
              <w:pStyle w:val="ListParagraph"/>
              <w:numPr>
                <w:ilvl w:val="0"/>
                <w:numId w:val="1"/>
              </w:numPr>
              <w:ind w:hanging="567"/>
              <w:jc w:val="both"/>
              <w:rPr>
                <w:rFonts w:ascii="Palatino Linotype" w:hAnsi="Palatino Linotype"/>
                <w:b/>
                <w:bCs/>
                <w:sz w:val="22"/>
                <w:szCs w:val="22"/>
              </w:rPr>
            </w:pPr>
          </w:p>
        </w:tc>
        <w:tc>
          <w:tcPr>
            <w:tcW w:w="1890" w:type="dxa"/>
          </w:tcPr>
          <w:p w14:paraId="2D43EF5B" w14:textId="650148C0" w:rsidR="000E59D5" w:rsidRDefault="000E59D5" w:rsidP="000E59D5">
            <w:pPr>
              <w:jc w:val="both"/>
            </w:pPr>
            <w:r>
              <w:t>Clause 1.7.1, Section-IVF, Vol II, TS</w:t>
            </w:r>
          </w:p>
        </w:tc>
        <w:tc>
          <w:tcPr>
            <w:tcW w:w="5400" w:type="dxa"/>
          </w:tcPr>
          <w:p w14:paraId="3164E970" w14:textId="77777777" w:rsidR="000E59D5" w:rsidRDefault="00DC1E9E" w:rsidP="00B17F16">
            <w:pPr>
              <w:jc w:val="both"/>
            </w:pPr>
            <w:r>
              <w:t>The monopole structure parts</w:t>
            </w:r>
            <w:proofErr w:type="gramStart"/>
            <w:r>
              <w:t>…..</w:t>
            </w:r>
            <w:proofErr w:type="gramEnd"/>
            <w:r>
              <w:t>as part of Quality Assurance Plan.</w:t>
            </w:r>
          </w:p>
          <w:p w14:paraId="224242A3" w14:textId="55C8E8B9" w:rsidR="00DC1E9E" w:rsidRDefault="00DC1E9E" w:rsidP="00B17F16">
            <w:pPr>
              <w:jc w:val="both"/>
            </w:pPr>
            <w:r w:rsidRPr="00DC1E9E">
              <w:t xml:space="preserve">In case pole segments having outer diameter more than 1m are fabricated in two halves, each half portion shall be hot dip galvanized. After seamless welding of both halves, surface of the welded portion shall be cleansed and prepared. Two welded portions shall be galvanized by suitably dipping in hot zinc bath or by metallizing using molten zinc technique. For metallizing, the process as per ANSI/AWS WCZ/D19.0-72 or other National/International standard/Guidelines shall be followed. The thickness </w:t>
            </w:r>
            <w:r w:rsidRPr="00DC1E9E">
              <w:lastRenderedPageBreak/>
              <w:t>of zinc coating by metallizing shall not be less than the minimum specified for hot dip galvanizing.</w:t>
            </w:r>
          </w:p>
        </w:tc>
        <w:tc>
          <w:tcPr>
            <w:tcW w:w="6030" w:type="dxa"/>
          </w:tcPr>
          <w:p w14:paraId="09559511" w14:textId="69A07115" w:rsidR="0056553B" w:rsidRDefault="0056553B" w:rsidP="0056553B">
            <w:pPr>
              <w:jc w:val="both"/>
            </w:pPr>
            <w:r>
              <w:lastRenderedPageBreak/>
              <w:t>The monopole structure parts….as part of Quality Assurance Plan.</w:t>
            </w:r>
          </w:p>
          <w:p w14:paraId="6303331E" w14:textId="334455DD" w:rsidR="000E59D5" w:rsidRDefault="0056553B" w:rsidP="0056553B">
            <w:pPr>
              <w:autoSpaceDE w:val="0"/>
              <w:autoSpaceDN w:val="0"/>
              <w:adjustRightInd w:val="0"/>
              <w:jc w:val="both"/>
            </w:pPr>
            <w:r w:rsidRPr="009D477A">
              <w:rPr>
                <w:strike/>
              </w:rPr>
              <w:t>In case pole segments having outer diameter more than 1m are fabricated in two halves, each half portion shall be hot dip galvanized</w:t>
            </w:r>
            <w:r w:rsidRPr="00DC1E9E">
              <w:t xml:space="preserve">. </w:t>
            </w:r>
            <w:r w:rsidRPr="009D477A">
              <w:rPr>
                <w:b/>
                <w:bCs/>
              </w:rPr>
              <w:t xml:space="preserve">In case of restriction due to the size of hot dip </w:t>
            </w:r>
            <w:proofErr w:type="spellStart"/>
            <w:r w:rsidRPr="009D477A">
              <w:rPr>
                <w:b/>
                <w:bCs/>
              </w:rPr>
              <w:t>galvanising</w:t>
            </w:r>
            <w:proofErr w:type="spellEnd"/>
            <w:r w:rsidRPr="009D477A">
              <w:rPr>
                <w:b/>
                <w:bCs/>
              </w:rPr>
              <w:t xml:space="preserve"> bath, pole segments having outer diameter more than 1m </w:t>
            </w:r>
            <w:r>
              <w:rPr>
                <w:b/>
                <w:bCs/>
              </w:rPr>
              <w:t xml:space="preserve">and upto 2.5m </w:t>
            </w:r>
            <w:r w:rsidRPr="009D477A">
              <w:rPr>
                <w:b/>
                <w:bCs/>
              </w:rPr>
              <w:t xml:space="preserve">may be </w:t>
            </w:r>
            <w:r>
              <w:rPr>
                <w:b/>
                <w:bCs/>
              </w:rPr>
              <w:t>galvanized</w:t>
            </w:r>
            <w:r w:rsidRPr="009D477A">
              <w:rPr>
                <w:b/>
                <w:bCs/>
              </w:rPr>
              <w:t xml:space="preserve"> in two halves and </w:t>
            </w:r>
            <w:r>
              <w:rPr>
                <w:b/>
                <w:bCs/>
              </w:rPr>
              <w:t xml:space="preserve">then </w:t>
            </w:r>
            <w:r w:rsidRPr="009D477A">
              <w:rPr>
                <w:b/>
                <w:bCs/>
              </w:rPr>
              <w:t>seamlessly welded</w:t>
            </w:r>
            <w:r>
              <w:rPr>
                <w:b/>
                <w:bCs/>
              </w:rPr>
              <w:t xml:space="preserve">. For </w:t>
            </w:r>
            <w:r w:rsidRPr="009D477A">
              <w:rPr>
                <w:b/>
                <w:bCs/>
              </w:rPr>
              <w:t xml:space="preserve">pole segments having outer diameter more than </w:t>
            </w:r>
            <w:r>
              <w:rPr>
                <w:b/>
                <w:bCs/>
              </w:rPr>
              <w:t>2.5</w:t>
            </w:r>
            <w:r w:rsidRPr="009D477A">
              <w:rPr>
                <w:b/>
                <w:bCs/>
              </w:rPr>
              <w:t>m</w:t>
            </w:r>
            <w:r>
              <w:rPr>
                <w:b/>
                <w:bCs/>
              </w:rPr>
              <w:t xml:space="preserve"> galvanizing shall be carried out in maximum four parts, and then </w:t>
            </w:r>
            <w:r w:rsidRPr="009D477A">
              <w:rPr>
                <w:b/>
                <w:bCs/>
              </w:rPr>
              <w:t>seamlessly welded</w:t>
            </w:r>
            <w:r>
              <w:rPr>
                <w:b/>
                <w:bCs/>
              </w:rPr>
              <w:t>.</w:t>
            </w:r>
            <w:r w:rsidRPr="009D477A">
              <w:rPr>
                <w:b/>
                <w:bCs/>
              </w:rPr>
              <w:t xml:space="preserve"> </w:t>
            </w:r>
            <w:r w:rsidRPr="00DC1E9E">
              <w:t xml:space="preserve">After seamless welding of </w:t>
            </w:r>
            <w:r w:rsidRPr="009D477A">
              <w:rPr>
                <w:strike/>
              </w:rPr>
              <w:t>both halves</w:t>
            </w:r>
            <w:r>
              <w:t xml:space="preserve"> </w:t>
            </w:r>
            <w:r w:rsidRPr="009D477A">
              <w:rPr>
                <w:b/>
                <w:bCs/>
              </w:rPr>
              <w:t>above parts</w:t>
            </w:r>
            <w:r w:rsidRPr="00DC1E9E">
              <w:t xml:space="preserve">, surface of the welded portion shall be cleansed and prepared. </w:t>
            </w:r>
            <w:r w:rsidRPr="009D477A">
              <w:rPr>
                <w:strike/>
              </w:rPr>
              <w:t>Two</w:t>
            </w:r>
            <w:r w:rsidRPr="00DC1E9E">
              <w:t xml:space="preserve"> </w:t>
            </w:r>
            <w:r w:rsidRPr="009D477A">
              <w:rPr>
                <w:b/>
                <w:bCs/>
              </w:rPr>
              <w:t>These</w:t>
            </w:r>
            <w:r>
              <w:t xml:space="preserve"> </w:t>
            </w:r>
            <w:r w:rsidRPr="00DC1E9E">
              <w:t xml:space="preserve">welded portions shall be </w:t>
            </w:r>
            <w:r w:rsidRPr="00DC1E9E">
              <w:lastRenderedPageBreak/>
              <w:t xml:space="preserve">galvanized </w:t>
            </w:r>
            <w:r w:rsidRPr="00BC53F0">
              <w:rPr>
                <w:strike/>
              </w:rPr>
              <w:t>by suitably dipping in hot zinc bath or</w:t>
            </w:r>
            <w:r w:rsidRPr="00DC1E9E">
              <w:t xml:space="preserve"> by metallizing using molten zinc technique. For metallizing, the process as per ANSI/AWS WCZ/D19.0-72 or other National/International standard/Guidelines shall be followed. The thickness of zinc coating by metallizing shall not be less than the minimum specified for hot dip galvanizing</w:t>
            </w:r>
            <w:r>
              <w:rPr>
                <w:sz w:val="23"/>
                <w:szCs w:val="23"/>
              </w:rPr>
              <w:t>.</w:t>
            </w:r>
          </w:p>
        </w:tc>
      </w:tr>
      <w:tr w:rsidR="00FE109F" w:rsidRPr="00EE2EC4" w14:paraId="4E26EEA1" w14:textId="77777777" w:rsidTr="003763E2">
        <w:trPr>
          <w:trHeight w:val="239"/>
        </w:trPr>
        <w:tc>
          <w:tcPr>
            <w:tcW w:w="985" w:type="dxa"/>
          </w:tcPr>
          <w:p w14:paraId="7B3D6FD3" w14:textId="77777777" w:rsidR="00FE109F" w:rsidRPr="007C70E3" w:rsidRDefault="00FE109F" w:rsidP="000E59D5">
            <w:pPr>
              <w:pStyle w:val="ListParagraph"/>
              <w:numPr>
                <w:ilvl w:val="0"/>
                <w:numId w:val="1"/>
              </w:numPr>
              <w:ind w:hanging="567"/>
              <w:jc w:val="both"/>
              <w:rPr>
                <w:rFonts w:ascii="Palatino Linotype" w:hAnsi="Palatino Linotype"/>
                <w:b/>
                <w:bCs/>
                <w:sz w:val="22"/>
                <w:szCs w:val="22"/>
              </w:rPr>
            </w:pPr>
          </w:p>
        </w:tc>
        <w:tc>
          <w:tcPr>
            <w:tcW w:w="1890" w:type="dxa"/>
          </w:tcPr>
          <w:p w14:paraId="7EF7D980" w14:textId="3F40A517" w:rsidR="00FE109F" w:rsidRDefault="00FE109F" w:rsidP="000E59D5">
            <w:pPr>
              <w:jc w:val="both"/>
            </w:pPr>
            <w:r>
              <w:t>Drawing Section-XI, Vol II, TS</w:t>
            </w:r>
          </w:p>
        </w:tc>
        <w:tc>
          <w:tcPr>
            <w:tcW w:w="5400" w:type="dxa"/>
          </w:tcPr>
          <w:p w14:paraId="055FFA6A" w14:textId="77777777" w:rsidR="00FE109F" w:rsidRDefault="00FE109F" w:rsidP="000E59D5"/>
        </w:tc>
        <w:tc>
          <w:tcPr>
            <w:tcW w:w="6030" w:type="dxa"/>
          </w:tcPr>
          <w:p w14:paraId="4E16722C" w14:textId="0F558681" w:rsidR="001465FD" w:rsidRDefault="001465FD" w:rsidP="00DC1E9E">
            <w:r>
              <w:t>Indicative Diagram for M/C Pole structures is attached at Annexure-A1</w:t>
            </w:r>
          </w:p>
        </w:tc>
      </w:tr>
      <w:tr w:rsidR="005B6FFF" w:rsidRPr="00EE2EC4" w14:paraId="44272565" w14:textId="77777777" w:rsidTr="003763E2">
        <w:trPr>
          <w:trHeight w:val="239"/>
        </w:trPr>
        <w:tc>
          <w:tcPr>
            <w:tcW w:w="985" w:type="dxa"/>
          </w:tcPr>
          <w:p w14:paraId="386104B4" w14:textId="77777777" w:rsidR="005B6FFF" w:rsidRPr="007C70E3" w:rsidRDefault="005B6FFF" w:rsidP="000E59D5">
            <w:pPr>
              <w:pStyle w:val="ListParagraph"/>
              <w:numPr>
                <w:ilvl w:val="0"/>
                <w:numId w:val="1"/>
              </w:numPr>
              <w:ind w:hanging="567"/>
              <w:jc w:val="both"/>
              <w:rPr>
                <w:rFonts w:ascii="Palatino Linotype" w:hAnsi="Palatino Linotype"/>
                <w:b/>
                <w:bCs/>
                <w:sz w:val="22"/>
                <w:szCs w:val="22"/>
              </w:rPr>
            </w:pPr>
          </w:p>
        </w:tc>
        <w:tc>
          <w:tcPr>
            <w:tcW w:w="1890" w:type="dxa"/>
          </w:tcPr>
          <w:p w14:paraId="7CFE4667" w14:textId="6DA938E8" w:rsidR="005B6FFF" w:rsidRDefault="005B6FFF" w:rsidP="000E59D5">
            <w:pPr>
              <w:jc w:val="both"/>
            </w:pPr>
            <w:r>
              <w:t>Clause 1.4 B) ii), Section-IA, Vol II, TS</w:t>
            </w:r>
          </w:p>
        </w:tc>
        <w:tc>
          <w:tcPr>
            <w:tcW w:w="5400" w:type="dxa"/>
          </w:tcPr>
          <w:p w14:paraId="3FD8282D" w14:textId="77777777" w:rsidR="005B6FFF" w:rsidRDefault="005B6FFF" w:rsidP="005B6FFF">
            <w:pPr>
              <w:pStyle w:val="Default"/>
              <w:rPr>
                <w:sz w:val="23"/>
                <w:szCs w:val="23"/>
              </w:rPr>
            </w:pPr>
            <w:r>
              <w:rPr>
                <w:sz w:val="23"/>
                <w:szCs w:val="23"/>
              </w:rPr>
              <w:t xml:space="preserve">Maximum Nominal mass of complete conductor (kg/km) </w:t>
            </w:r>
          </w:p>
          <w:p w14:paraId="41DFD587" w14:textId="77777777" w:rsidR="005B6FFF" w:rsidRDefault="005B6FFF" w:rsidP="000E59D5"/>
        </w:tc>
        <w:tc>
          <w:tcPr>
            <w:tcW w:w="6030" w:type="dxa"/>
          </w:tcPr>
          <w:p w14:paraId="5433989D" w14:textId="02757B53" w:rsidR="005B6FFF" w:rsidRDefault="005B6FFF" w:rsidP="005B6FFF">
            <w:pPr>
              <w:pStyle w:val="Default"/>
              <w:rPr>
                <w:sz w:val="23"/>
                <w:szCs w:val="23"/>
              </w:rPr>
            </w:pPr>
            <w:r>
              <w:rPr>
                <w:sz w:val="23"/>
                <w:szCs w:val="23"/>
              </w:rPr>
              <w:t>Maximum Nominal mass of complete conductor (</w:t>
            </w:r>
            <w:r w:rsidRPr="005B6FFF">
              <w:rPr>
                <w:strike/>
                <w:sz w:val="23"/>
                <w:szCs w:val="23"/>
              </w:rPr>
              <w:t>kg/km</w:t>
            </w:r>
            <w:r>
              <w:rPr>
                <w:sz w:val="23"/>
                <w:szCs w:val="23"/>
              </w:rPr>
              <w:t>) (kg/m)</w:t>
            </w:r>
          </w:p>
          <w:p w14:paraId="430F7C7A" w14:textId="77777777" w:rsidR="005B6FFF" w:rsidRDefault="005B6FFF" w:rsidP="00DC1E9E"/>
        </w:tc>
      </w:tr>
      <w:bookmarkEnd w:id="0"/>
    </w:tbl>
    <w:p w14:paraId="08DFFE18" w14:textId="77777777" w:rsidR="006A6B3D" w:rsidRDefault="006A6B3D" w:rsidP="000041E5">
      <w:pPr>
        <w:tabs>
          <w:tab w:val="left" w:pos="12118"/>
        </w:tabs>
        <w:rPr>
          <w:rFonts w:ascii="Palatino Linotype" w:hAnsi="Palatino Linotype"/>
          <w:sz w:val="22"/>
          <w:szCs w:val="22"/>
        </w:rPr>
      </w:pPr>
    </w:p>
    <w:sectPr w:rsidR="006A6B3D" w:rsidSect="00E02A08">
      <w:headerReference w:type="default" r:id="rId8"/>
      <w:pgSz w:w="16834" w:h="11909" w:orient="landscape" w:code="9"/>
      <w:pgMar w:top="993" w:right="1440" w:bottom="45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9F0EB" w14:textId="77777777" w:rsidR="00F27CF3" w:rsidRDefault="00F27CF3">
      <w:r>
        <w:separator/>
      </w:r>
    </w:p>
  </w:endnote>
  <w:endnote w:type="continuationSeparator" w:id="0">
    <w:p w14:paraId="67D32C2A" w14:textId="77777777" w:rsidR="00F27CF3" w:rsidRDefault="00F27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3C696" w14:textId="77777777" w:rsidR="00F27CF3" w:rsidRDefault="00F27CF3">
      <w:r>
        <w:separator/>
      </w:r>
    </w:p>
  </w:footnote>
  <w:footnote w:type="continuationSeparator" w:id="0">
    <w:p w14:paraId="05E8B316" w14:textId="77777777" w:rsidR="00F27CF3" w:rsidRDefault="00F27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6B376" w14:textId="437D4D96" w:rsidR="005E2B19" w:rsidRPr="005E2B19" w:rsidRDefault="00C54505" w:rsidP="005E2B19">
    <w:pPr>
      <w:pBdr>
        <w:bottom w:val="single" w:sz="4" w:space="1" w:color="auto"/>
      </w:pBdr>
      <w:jc w:val="both"/>
      <w:rPr>
        <w:rFonts w:ascii="Book Antiqua" w:hAnsi="Book Antiqua" w:cs="Arial"/>
        <w:b/>
        <w:bCs/>
      </w:rPr>
    </w:pPr>
    <w:bookmarkStart w:id="2" w:name="_Hlk76638634"/>
    <w:bookmarkStart w:id="3" w:name="_Hlk76638635"/>
    <w:r>
      <w:rPr>
        <w:rFonts w:ascii="Book Antiqua" w:hAnsi="Book Antiqua" w:cs="Arial"/>
        <w:b/>
        <w:bCs/>
      </w:rPr>
      <w:t>Amendment</w:t>
    </w:r>
    <w:r w:rsidR="005E2B19" w:rsidRPr="005E2B19">
      <w:rPr>
        <w:rFonts w:ascii="Book Antiqua" w:hAnsi="Book Antiqua" w:cs="Arial"/>
        <w:b/>
        <w:bCs/>
      </w:rPr>
      <w:t xml:space="preserve"> No.-</w:t>
    </w:r>
    <w:r w:rsidR="005E2B19">
      <w:rPr>
        <w:rFonts w:ascii="Book Antiqua" w:hAnsi="Book Antiqua" w:cs="Arial"/>
        <w:b/>
        <w:bCs/>
      </w:rPr>
      <w:t>1(Technical)</w:t>
    </w:r>
    <w:r w:rsidR="005E2B19" w:rsidRPr="005E2B19">
      <w:rPr>
        <w:rFonts w:ascii="Book Antiqua" w:hAnsi="Book Antiqua" w:cs="Arial"/>
        <w:b/>
        <w:bCs/>
      </w:rPr>
      <w:t xml:space="preserve"> dated </w:t>
    </w:r>
    <w:r w:rsidR="00486BBF">
      <w:rPr>
        <w:rFonts w:ascii="Book Antiqua" w:hAnsi="Book Antiqua" w:cs="Arial"/>
        <w:b/>
        <w:bCs/>
      </w:rPr>
      <w:t>23</w:t>
    </w:r>
    <w:r w:rsidR="005E2B19" w:rsidRPr="005E2B19">
      <w:rPr>
        <w:rFonts w:ascii="Book Antiqua" w:hAnsi="Book Antiqua" w:cs="Arial"/>
        <w:b/>
        <w:bCs/>
      </w:rPr>
      <w:t>.0</w:t>
    </w:r>
    <w:r w:rsidR="005E2B19">
      <w:rPr>
        <w:rFonts w:ascii="Book Antiqua" w:hAnsi="Book Antiqua" w:cs="Arial"/>
        <w:b/>
        <w:bCs/>
      </w:rPr>
      <w:t>8</w:t>
    </w:r>
    <w:r w:rsidR="005E2B19" w:rsidRPr="005E2B19">
      <w:rPr>
        <w:rFonts w:ascii="Book Antiqua" w:hAnsi="Book Antiqua" w:cs="Arial"/>
        <w:b/>
        <w:bCs/>
      </w:rPr>
      <w:t>.2021 to the Bidding Documents for</w:t>
    </w:r>
    <w:r w:rsidR="005E2B19" w:rsidRPr="005E2B19">
      <w:rPr>
        <w:rFonts w:ascii="Book Antiqua" w:hAnsi="Book Antiqua" w:cs="Arial"/>
      </w:rPr>
      <w:t xml:space="preserve"> </w:t>
    </w:r>
    <w:r w:rsidRPr="00C54505">
      <w:rPr>
        <w:rFonts w:ascii="Book Antiqua" w:hAnsi="Book Antiqua" w:cs="Arial"/>
        <w:b/>
      </w:rPr>
      <w:t xml:space="preserve">Transmission Line Package TW01 for removal of LILO of </w:t>
    </w:r>
    <w:proofErr w:type="spellStart"/>
    <w:r w:rsidRPr="00C54505">
      <w:rPr>
        <w:rFonts w:ascii="Book Antiqua" w:hAnsi="Book Antiqua" w:cs="Arial"/>
        <w:b/>
      </w:rPr>
      <w:t>Bawana</w:t>
    </w:r>
    <w:proofErr w:type="spellEnd"/>
    <w:r w:rsidRPr="00C54505">
      <w:rPr>
        <w:rFonts w:ascii="Book Antiqua" w:hAnsi="Book Antiqua" w:cs="Arial"/>
        <w:b/>
      </w:rPr>
      <w:t xml:space="preserve">-Mandola 400kV D/C line at </w:t>
    </w:r>
    <w:proofErr w:type="spellStart"/>
    <w:r w:rsidRPr="00C54505">
      <w:rPr>
        <w:rFonts w:ascii="Book Antiqua" w:hAnsi="Book Antiqua" w:cs="Arial"/>
        <w:b/>
      </w:rPr>
      <w:t>Maharanibagh</w:t>
    </w:r>
    <w:proofErr w:type="spellEnd"/>
    <w:r w:rsidRPr="00C54505">
      <w:rPr>
        <w:rFonts w:ascii="Book Antiqua" w:hAnsi="Book Antiqua" w:cs="Arial"/>
        <w:b/>
      </w:rPr>
      <w:t xml:space="preserve"> S/S and extension of above LILO section from </w:t>
    </w:r>
    <w:proofErr w:type="spellStart"/>
    <w:r w:rsidRPr="00C54505">
      <w:rPr>
        <w:rFonts w:ascii="Book Antiqua" w:hAnsi="Book Antiqua" w:cs="Arial"/>
        <w:b/>
      </w:rPr>
      <w:t>Maharanibagh</w:t>
    </w:r>
    <w:proofErr w:type="spellEnd"/>
    <w:r w:rsidRPr="00C54505">
      <w:rPr>
        <w:rFonts w:ascii="Book Antiqua" w:hAnsi="Book Antiqua" w:cs="Arial"/>
        <w:b/>
      </w:rPr>
      <w:t xml:space="preserve"> </w:t>
    </w:r>
    <w:proofErr w:type="spellStart"/>
    <w:r w:rsidRPr="00C54505">
      <w:rPr>
        <w:rFonts w:ascii="Book Antiqua" w:hAnsi="Book Antiqua" w:cs="Arial"/>
        <w:b/>
      </w:rPr>
      <w:t>upto</w:t>
    </w:r>
    <w:proofErr w:type="spellEnd"/>
    <w:r w:rsidRPr="00C54505">
      <w:rPr>
        <w:rFonts w:ascii="Book Antiqua" w:hAnsi="Book Antiqua" w:cs="Arial"/>
        <w:b/>
      </w:rPr>
      <w:t xml:space="preserve"> </w:t>
    </w:r>
    <w:proofErr w:type="spellStart"/>
    <w:r w:rsidRPr="00C54505">
      <w:rPr>
        <w:rFonts w:ascii="Book Antiqua" w:hAnsi="Book Antiqua" w:cs="Arial"/>
        <w:b/>
      </w:rPr>
      <w:t>Narela</w:t>
    </w:r>
    <w:proofErr w:type="spellEnd"/>
    <w:r w:rsidRPr="00C54505">
      <w:rPr>
        <w:rFonts w:ascii="Book Antiqua" w:hAnsi="Book Antiqua" w:cs="Arial"/>
        <w:b/>
      </w:rPr>
      <w:t xml:space="preserve"> S/S to form 2x400kV D/C </w:t>
    </w:r>
    <w:proofErr w:type="spellStart"/>
    <w:r w:rsidRPr="00C54505">
      <w:rPr>
        <w:rFonts w:ascii="Book Antiqua" w:hAnsi="Book Antiqua" w:cs="Arial"/>
        <w:b/>
      </w:rPr>
      <w:t>Maharanibagh-Narela</w:t>
    </w:r>
    <w:proofErr w:type="spellEnd"/>
    <w:r w:rsidRPr="00C54505">
      <w:rPr>
        <w:rFonts w:ascii="Book Antiqua" w:hAnsi="Book Antiqua" w:cs="Arial"/>
        <w:b/>
      </w:rPr>
      <w:t xml:space="preserve"> Line on M/C tower using twin HTLS conductor, under “Transmission System Strengthening Scheme for evacuation of power from Solar Energy Zones in Rajasthan (8.1 GW) under Phase-II Part G1”</w:t>
    </w:r>
    <w:r w:rsidR="005E2B19" w:rsidRPr="005E2B19">
      <w:rPr>
        <w:rFonts w:ascii="Book Antiqua" w:hAnsi="Book Antiqua" w:cs="Arial"/>
        <w:b/>
        <w:bCs/>
      </w:rPr>
      <w:t xml:space="preserve">; (Specification No.: </w:t>
    </w:r>
    <w:r w:rsidRPr="00C54505">
      <w:rPr>
        <w:rFonts w:ascii="Book Antiqua" w:hAnsi="Book Antiqua" w:cs="Arial"/>
        <w:b/>
        <w:bCs/>
      </w:rPr>
      <w:t>5002001861/TOWER/DOM/A02-CC CS -3</w:t>
    </w:r>
    <w:r w:rsidR="005E2B19" w:rsidRPr="005E2B19">
      <w:rPr>
        <w:rFonts w:ascii="Book Antiqua" w:hAnsi="Book Antiqua" w:cs="Arial"/>
        <w:b/>
        <w:bCs/>
      </w:rPr>
      <w:t>)</w:t>
    </w:r>
    <w:bookmarkEnd w:id="2"/>
    <w:bookmarkEnd w:id="3"/>
  </w:p>
  <w:p w14:paraId="54BD0096" w14:textId="77777777" w:rsidR="00DC0E25" w:rsidRPr="005E2B19" w:rsidRDefault="00DC0E25" w:rsidP="00332FEB">
    <w:pPr>
      <w:pStyle w:val="Header"/>
      <w:rPr>
        <w:rFonts w:ascii="Book Antiqua" w:hAnsi="Book Antiqua"/>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4AEDD5A"/>
    <w:multiLevelType w:val="hybridMultilevel"/>
    <w:tmpl w:val="C150BF04"/>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B8607DB"/>
    <w:multiLevelType w:val="hybridMultilevel"/>
    <w:tmpl w:val="A2DE979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D573CE8"/>
    <w:multiLevelType w:val="hybridMultilevel"/>
    <w:tmpl w:val="A1C6A31C"/>
    <w:lvl w:ilvl="0" w:tplc="0409000F">
      <w:start w:val="1"/>
      <w:numFmt w:val="decimal"/>
      <w:lvlText w:val="%1."/>
      <w:lvlJc w:val="left"/>
      <w:pPr>
        <w:ind w:left="99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23B5165F"/>
    <w:multiLevelType w:val="hybridMultilevel"/>
    <w:tmpl w:val="4CFCCB52"/>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25A4B64"/>
    <w:multiLevelType w:val="hybridMultilevel"/>
    <w:tmpl w:val="992CA7F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52EE2E2F"/>
    <w:multiLevelType w:val="hybridMultilevel"/>
    <w:tmpl w:val="67A223B6"/>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6F8E72C0"/>
    <w:multiLevelType w:val="multilevel"/>
    <w:tmpl w:val="CE88C746"/>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
  </w:num>
  <w:num w:numId="2">
    <w:abstractNumId w:val="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154"/>
    <w:rsid w:val="00001EA2"/>
    <w:rsid w:val="000041E5"/>
    <w:rsid w:val="0000499F"/>
    <w:rsid w:val="000079D5"/>
    <w:rsid w:val="0001007D"/>
    <w:rsid w:val="00013E26"/>
    <w:rsid w:val="00014B34"/>
    <w:rsid w:val="00014EC8"/>
    <w:rsid w:val="00021987"/>
    <w:rsid w:val="00021CA6"/>
    <w:rsid w:val="0003318E"/>
    <w:rsid w:val="0003339D"/>
    <w:rsid w:val="0004345C"/>
    <w:rsid w:val="00043C18"/>
    <w:rsid w:val="00054DAA"/>
    <w:rsid w:val="00062977"/>
    <w:rsid w:val="000632F3"/>
    <w:rsid w:val="00090009"/>
    <w:rsid w:val="000A36EF"/>
    <w:rsid w:val="000A4613"/>
    <w:rsid w:val="000B7347"/>
    <w:rsid w:val="000B7D17"/>
    <w:rsid w:val="000C6C17"/>
    <w:rsid w:val="000E2B2C"/>
    <w:rsid w:val="000E4975"/>
    <w:rsid w:val="000E59D5"/>
    <w:rsid w:val="000E64C6"/>
    <w:rsid w:val="000F27F6"/>
    <w:rsid w:val="000F488C"/>
    <w:rsid w:val="000F7260"/>
    <w:rsid w:val="00104C7D"/>
    <w:rsid w:val="00110C14"/>
    <w:rsid w:val="00113D74"/>
    <w:rsid w:val="00114C1F"/>
    <w:rsid w:val="0011556B"/>
    <w:rsid w:val="001205D5"/>
    <w:rsid w:val="00120D21"/>
    <w:rsid w:val="00121C5B"/>
    <w:rsid w:val="001266BA"/>
    <w:rsid w:val="00136420"/>
    <w:rsid w:val="001401CE"/>
    <w:rsid w:val="0014388F"/>
    <w:rsid w:val="0014454D"/>
    <w:rsid w:val="001465FD"/>
    <w:rsid w:val="00156056"/>
    <w:rsid w:val="001613CA"/>
    <w:rsid w:val="0017229D"/>
    <w:rsid w:val="00174954"/>
    <w:rsid w:val="00180CB9"/>
    <w:rsid w:val="0018313B"/>
    <w:rsid w:val="00193637"/>
    <w:rsid w:val="001976D5"/>
    <w:rsid w:val="001A0BC8"/>
    <w:rsid w:val="001B3875"/>
    <w:rsid w:val="001C181D"/>
    <w:rsid w:val="001C32F7"/>
    <w:rsid w:val="001C782E"/>
    <w:rsid w:val="001D7C56"/>
    <w:rsid w:val="001F6E78"/>
    <w:rsid w:val="0020346D"/>
    <w:rsid w:val="0020636C"/>
    <w:rsid w:val="00221912"/>
    <w:rsid w:val="00231FFE"/>
    <w:rsid w:val="00240504"/>
    <w:rsid w:val="00253DE2"/>
    <w:rsid w:val="00256998"/>
    <w:rsid w:val="00261B32"/>
    <w:rsid w:val="0026329A"/>
    <w:rsid w:val="00265924"/>
    <w:rsid w:val="00271FCF"/>
    <w:rsid w:val="002729B5"/>
    <w:rsid w:val="00276429"/>
    <w:rsid w:val="00277729"/>
    <w:rsid w:val="00290833"/>
    <w:rsid w:val="002946EC"/>
    <w:rsid w:val="002B50EA"/>
    <w:rsid w:val="002B6BE7"/>
    <w:rsid w:val="002C03B6"/>
    <w:rsid w:val="002C0DFE"/>
    <w:rsid w:val="002C1801"/>
    <w:rsid w:val="002D031D"/>
    <w:rsid w:val="002D03CC"/>
    <w:rsid w:val="002E11F5"/>
    <w:rsid w:val="002F0B88"/>
    <w:rsid w:val="002F23F6"/>
    <w:rsid w:val="002F7479"/>
    <w:rsid w:val="00327469"/>
    <w:rsid w:val="00330AD1"/>
    <w:rsid w:val="003314BC"/>
    <w:rsid w:val="003323D0"/>
    <w:rsid w:val="00332FEB"/>
    <w:rsid w:val="00345706"/>
    <w:rsid w:val="0034675B"/>
    <w:rsid w:val="00347CE9"/>
    <w:rsid w:val="003627E3"/>
    <w:rsid w:val="00362D9B"/>
    <w:rsid w:val="00367A65"/>
    <w:rsid w:val="00372685"/>
    <w:rsid w:val="003763E2"/>
    <w:rsid w:val="0038184B"/>
    <w:rsid w:val="003903C6"/>
    <w:rsid w:val="00390C21"/>
    <w:rsid w:val="0039150B"/>
    <w:rsid w:val="00396261"/>
    <w:rsid w:val="003A0B0C"/>
    <w:rsid w:val="003A4CA2"/>
    <w:rsid w:val="003A724F"/>
    <w:rsid w:val="003B070B"/>
    <w:rsid w:val="003B3269"/>
    <w:rsid w:val="003B5604"/>
    <w:rsid w:val="003B7775"/>
    <w:rsid w:val="003D14FF"/>
    <w:rsid w:val="003D358F"/>
    <w:rsid w:val="003D7CA1"/>
    <w:rsid w:val="003F1EA3"/>
    <w:rsid w:val="003F47F1"/>
    <w:rsid w:val="0040427F"/>
    <w:rsid w:val="0042113D"/>
    <w:rsid w:val="004244F7"/>
    <w:rsid w:val="004341A9"/>
    <w:rsid w:val="00446184"/>
    <w:rsid w:val="004521E9"/>
    <w:rsid w:val="00461344"/>
    <w:rsid w:val="00466A7C"/>
    <w:rsid w:val="00473315"/>
    <w:rsid w:val="0047402A"/>
    <w:rsid w:val="00474401"/>
    <w:rsid w:val="004745C7"/>
    <w:rsid w:val="0047747D"/>
    <w:rsid w:val="0048320F"/>
    <w:rsid w:val="00484DD9"/>
    <w:rsid w:val="00486BBF"/>
    <w:rsid w:val="004A4BB1"/>
    <w:rsid w:val="004A5935"/>
    <w:rsid w:val="004B06C1"/>
    <w:rsid w:val="004B1D57"/>
    <w:rsid w:val="004B70D6"/>
    <w:rsid w:val="004B7259"/>
    <w:rsid w:val="004C1AD6"/>
    <w:rsid w:val="004C2C06"/>
    <w:rsid w:val="004C37AE"/>
    <w:rsid w:val="004D3CD7"/>
    <w:rsid w:val="004E62C7"/>
    <w:rsid w:val="004F0930"/>
    <w:rsid w:val="004F1EE5"/>
    <w:rsid w:val="004F2616"/>
    <w:rsid w:val="004F270D"/>
    <w:rsid w:val="00500AB6"/>
    <w:rsid w:val="00515B5D"/>
    <w:rsid w:val="00553054"/>
    <w:rsid w:val="005567AC"/>
    <w:rsid w:val="0056034C"/>
    <w:rsid w:val="00561963"/>
    <w:rsid w:val="005638FC"/>
    <w:rsid w:val="0056553B"/>
    <w:rsid w:val="00567DF3"/>
    <w:rsid w:val="00576C88"/>
    <w:rsid w:val="00582340"/>
    <w:rsid w:val="0059400E"/>
    <w:rsid w:val="005B4BA4"/>
    <w:rsid w:val="005B6CF9"/>
    <w:rsid w:val="005B6FFF"/>
    <w:rsid w:val="005C607F"/>
    <w:rsid w:val="005C617B"/>
    <w:rsid w:val="005D2570"/>
    <w:rsid w:val="005D300E"/>
    <w:rsid w:val="005D679F"/>
    <w:rsid w:val="005D728C"/>
    <w:rsid w:val="005D753A"/>
    <w:rsid w:val="005E0989"/>
    <w:rsid w:val="005E2B19"/>
    <w:rsid w:val="005F070D"/>
    <w:rsid w:val="005F2C66"/>
    <w:rsid w:val="005F3C2A"/>
    <w:rsid w:val="005F5C02"/>
    <w:rsid w:val="005F6FCA"/>
    <w:rsid w:val="0060245F"/>
    <w:rsid w:val="00602784"/>
    <w:rsid w:val="00613BB1"/>
    <w:rsid w:val="00635E84"/>
    <w:rsid w:val="00645848"/>
    <w:rsid w:val="00647308"/>
    <w:rsid w:val="0065770E"/>
    <w:rsid w:val="00660880"/>
    <w:rsid w:val="006609CF"/>
    <w:rsid w:val="006646C0"/>
    <w:rsid w:val="006662E7"/>
    <w:rsid w:val="00675A42"/>
    <w:rsid w:val="00681746"/>
    <w:rsid w:val="0069076F"/>
    <w:rsid w:val="0069154F"/>
    <w:rsid w:val="006934F0"/>
    <w:rsid w:val="00693FBA"/>
    <w:rsid w:val="00694B42"/>
    <w:rsid w:val="006A6B3D"/>
    <w:rsid w:val="006B2880"/>
    <w:rsid w:val="006C5FC6"/>
    <w:rsid w:val="006D2369"/>
    <w:rsid w:val="006D2DF4"/>
    <w:rsid w:val="006E2998"/>
    <w:rsid w:val="006E719D"/>
    <w:rsid w:val="006F1296"/>
    <w:rsid w:val="006F2880"/>
    <w:rsid w:val="006F3860"/>
    <w:rsid w:val="006F6E55"/>
    <w:rsid w:val="007023DC"/>
    <w:rsid w:val="00710596"/>
    <w:rsid w:val="007124F3"/>
    <w:rsid w:val="00714F29"/>
    <w:rsid w:val="007232B9"/>
    <w:rsid w:val="007234F6"/>
    <w:rsid w:val="00724C4A"/>
    <w:rsid w:val="00731BED"/>
    <w:rsid w:val="00735D08"/>
    <w:rsid w:val="00736461"/>
    <w:rsid w:val="00741656"/>
    <w:rsid w:val="007449CA"/>
    <w:rsid w:val="0074671B"/>
    <w:rsid w:val="00747C04"/>
    <w:rsid w:val="007500CE"/>
    <w:rsid w:val="007519BC"/>
    <w:rsid w:val="007526CE"/>
    <w:rsid w:val="007571B7"/>
    <w:rsid w:val="00770C69"/>
    <w:rsid w:val="00772C27"/>
    <w:rsid w:val="00775AD3"/>
    <w:rsid w:val="00777B33"/>
    <w:rsid w:val="007811A6"/>
    <w:rsid w:val="00782852"/>
    <w:rsid w:val="00784AAA"/>
    <w:rsid w:val="00790EC6"/>
    <w:rsid w:val="0079122F"/>
    <w:rsid w:val="007930BB"/>
    <w:rsid w:val="007A0DB8"/>
    <w:rsid w:val="007A79AC"/>
    <w:rsid w:val="007B3644"/>
    <w:rsid w:val="007B6DEB"/>
    <w:rsid w:val="007C70E3"/>
    <w:rsid w:val="007D167A"/>
    <w:rsid w:val="007D2C42"/>
    <w:rsid w:val="007D2D83"/>
    <w:rsid w:val="007D6480"/>
    <w:rsid w:val="007E4251"/>
    <w:rsid w:val="007F5B6C"/>
    <w:rsid w:val="007F6F28"/>
    <w:rsid w:val="00816AFD"/>
    <w:rsid w:val="00817FF0"/>
    <w:rsid w:val="0082721C"/>
    <w:rsid w:val="00830618"/>
    <w:rsid w:val="00831871"/>
    <w:rsid w:val="00833CC0"/>
    <w:rsid w:val="00847CCE"/>
    <w:rsid w:val="008551B4"/>
    <w:rsid w:val="0086126D"/>
    <w:rsid w:val="00863C5E"/>
    <w:rsid w:val="00864DB0"/>
    <w:rsid w:val="00865FB7"/>
    <w:rsid w:val="00873508"/>
    <w:rsid w:val="00876327"/>
    <w:rsid w:val="00890587"/>
    <w:rsid w:val="008A0F2A"/>
    <w:rsid w:val="008B2883"/>
    <w:rsid w:val="008C0DC7"/>
    <w:rsid w:val="008C273A"/>
    <w:rsid w:val="008C2904"/>
    <w:rsid w:val="008C3E26"/>
    <w:rsid w:val="008E0367"/>
    <w:rsid w:val="008E1C52"/>
    <w:rsid w:val="008F25B8"/>
    <w:rsid w:val="008F3ABA"/>
    <w:rsid w:val="008F59EE"/>
    <w:rsid w:val="009079F5"/>
    <w:rsid w:val="00912230"/>
    <w:rsid w:val="009156D9"/>
    <w:rsid w:val="00931952"/>
    <w:rsid w:val="00937D49"/>
    <w:rsid w:val="00940810"/>
    <w:rsid w:val="009412E3"/>
    <w:rsid w:val="00945BE9"/>
    <w:rsid w:val="009507FC"/>
    <w:rsid w:val="00953516"/>
    <w:rsid w:val="00956509"/>
    <w:rsid w:val="00962DD3"/>
    <w:rsid w:val="00965340"/>
    <w:rsid w:val="00970B30"/>
    <w:rsid w:val="00973350"/>
    <w:rsid w:val="00981166"/>
    <w:rsid w:val="00982751"/>
    <w:rsid w:val="009837CE"/>
    <w:rsid w:val="009977E1"/>
    <w:rsid w:val="009A2521"/>
    <w:rsid w:val="009A50A6"/>
    <w:rsid w:val="009A6409"/>
    <w:rsid w:val="009B20D1"/>
    <w:rsid w:val="009C1340"/>
    <w:rsid w:val="009C2FB4"/>
    <w:rsid w:val="009C3AD7"/>
    <w:rsid w:val="009D14F0"/>
    <w:rsid w:val="009D1BF8"/>
    <w:rsid w:val="009D336E"/>
    <w:rsid w:val="009D477A"/>
    <w:rsid w:val="009D5ED6"/>
    <w:rsid w:val="009E03A6"/>
    <w:rsid w:val="009E4037"/>
    <w:rsid w:val="009F01C0"/>
    <w:rsid w:val="009F075F"/>
    <w:rsid w:val="009F650B"/>
    <w:rsid w:val="00A078B5"/>
    <w:rsid w:val="00A17082"/>
    <w:rsid w:val="00A200E1"/>
    <w:rsid w:val="00A245CD"/>
    <w:rsid w:val="00A37E4B"/>
    <w:rsid w:val="00A550F0"/>
    <w:rsid w:val="00A57F71"/>
    <w:rsid w:val="00A61062"/>
    <w:rsid w:val="00A65180"/>
    <w:rsid w:val="00A653E7"/>
    <w:rsid w:val="00A66B26"/>
    <w:rsid w:val="00A66B74"/>
    <w:rsid w:val="00A702DD"/>
    <w:rsid w:val="00A804CE"/>
    <w:rsid w:val="00A821B4"/>
    <w:rsid w:val="00A82457"/>
    <w:rsid w:val="00A83E7E"/>
    <w:rsid w:val="00AA2912"/>
    <w:rsid w:val="00AA79DE"/>
    <w:rsid w:val="00AB00A3"/>
    <w:rsid w:val="00AB3AE2"/>
    <w:rsid w:val="00AC02F0"/>
    <w:rsid w:val="00AC1BD5"/>
    <w:rsid w:val="00AC4861"/>
    <w:rsid w:val="00AD3908"/>
    <w:rsid w:val="00AD5354"/>
    <w:rsid w:val="00AD545E"/>
    <w:rsid w:val="00AE65AB"/>
    <w:rsid w:val="00B0198A"/>
    <w:rsid w:val="00B04C53"/>
    <w:rsid w:val="00B11A55"/>
    <w:rsid w:val="00B13CC3"/>
    <w:rsid w:val="00B17F16"/>
    <w:rsid w:val="00B21C01"/>
    <w:rsid w:val="00B27B46"/>
    <w:rsid w:val="00B316CD"/>
    <w:rsid w:val="00B3564C"/>
    <w:rsid w:val="00B36DC7"/>
    <w:rsid w:val="00B42E09"/>
    <w:rsid w:val="00B44FEE"/>
    <w:rsid w:val="00B55E67"/>
    <w:rsid w:val="00B60021"/>
    <w:rsid w:val="00B7437C"/>
    <w:rsid w:val="00B815EA"/>
    <w:rsid w:val="00B8522F"/>
    <w:rsid w:val="00B904C9"/>
    <w:rsid w:val="00B921E6"/>
    <w:rsid w:val="00B9678C"/>
    <w:rsid w:val="00B977A1"/>
    <w:rsid w:val="00B97E1C"/>
    <w:rsid w:val="00BA134B"/>
    <w:rsid w:val="00BB00B6"/>
    <w:rsid w:val="00BB0976"/>
    <w:rsid w:val="00BB1264"/>
    <w:rsid w:val="00BC53F0"/>
    <w:rsid w:val="00BC56BA"/>
    <w:rsid w:val="00BD45E7"/>
    <w:rsid w:val="00BE021C"/>
    <w:rsid w:val="00BE0AEA"/>
    <w:rsid w:val="00BE6892"/>
    <w:rsid w:val="00BE6DCC"/>
    <w:rsid w:val="00BF5E9E"/>
    <w:rsid w:val="00C0528F"/>
    <w:rsid w:val="00C1129A"/>
    <w:rsid w:val="00C141FB"/>
    <w:rsid w:val="00C20685"/>
    <w:rsid w:val="00C2392B"/>
    <w:rsid w:val="00C23C55"/>
    <w:rsid w:val="00C2474F"/>
    <w:rsid w:val="00C25340"/>
    <w:rsid w:val="00C25B8C"/>
    <w:rsid w:val="00C34154"/>
    <w:rsid w:val="00C36CD6"/>
    <w:rsid w:val="00C37294"/>
    <w:rsid w:val="00C50BE5"/>
    <w:rsid w:val="00C52157"/>
    <w:rsid w:val="00C54505"/>
    <w:rsid w:val="00C56122"/>
    <w:rsid w:val="00C616CC"/>
    <w:rsid w:val="00C63C6C"/>
    <w:rsid w:val="00C64265"/>
    <w:rsid w:val="00C734BF"/>
    <w:rsid w:val="00C754F6"/>
    <w:rsid w:val="00C75A2B"/>
    <w:rsid w:val="00C827C9"/>
    <w:rsid w:val="00C82F8D"/>
    <w:rsid w:val="00C83028"/>
    <w:rsid w:val="00C85E4B"/>
    <w:rsid w:val="00C91659"/>
    <w:rsid w:val="00C91672"/>
    <w:rsid w:val="00C92E0A"/>
    <w:rsid w:val="00C97502"/>
    <w:rsid w:val="00CA2E3E"/>
    <w:rsid w:val="00CB69C1"/>
    <w:rsid w:val="00CC21C6"/>
    <w:rsid w:val="00CC6823"/>
    <w:rsid w:val="00CD4F5B"/>
    <w:rsid w:val="00CE7B3B"/>
    <w:rsid w:val="00CF1C4C"/>
    <w:rsid w:val="00D04D75"/>
    <w:rsid w:val="00D068F8"/>
    <w:rsid w:val="00D074AA"/>
    <w:rsid w:val="00D15C30"/>
    <w:rsid w:val="00D16EBF"/>
    <w:rsid w:val="00D20BCD"/>
    <w:rsid w:val="00D27EB7"/>
    <w:rsid w:val="00D346A6"/>
    <w:rsid w:val="00D349A1"/>
    <w:rsid w:val="00D36B0B"/>
    <w:rsid w:val="00D41ED5"/>
    <w:rsid w:val="00D44DA7"/>
    <w:rsid w:val="00D4570F"/>
    <w:rsid w:val="00D478A5"/>
    <w:rsid w:val="00D50FF7"/>
    <w:rsid w:val="00D52AF4"/>
    <w:rsid w:val="00D547B5"/>
    <w:rsid w:val="00D600C2"/>
    <w:rsid w:val="00D609DD"/>
    <w:rsid w:val="00D648A0"/>
    <w:rsid w:val="00D65754"/>
    <w:rsid w:val="00D70097"/>
    <w:rsid w:val="00D700E1"/>
    <w:rsid w:val="00D75779"/>
    <w:rsid w:val="00D937E6"/>
    <w:rsid w:val="00D95A0A"/>
    <w:rsid w:val="00DA0139"/>
    <w:rsid w:val="00DA4AA4"/>
    <w:rsid w:val="00DA67C6"/>
    <w:rsid w:val="00DB4EF6"/>
    <w:rsid w:val="00DC0E25"/>
    <w:rsid w:val="00DC0E9E"/>
    <w:rsid w:val="00DC1E9E"/>
    <w:rsid w:val="00DC46D3"/>
    <w:rsid w:val="00DC69DE"/>
    <w:rsid w:val="00DD09D4"/>
    <w:rsid w:val="00DD644B"/>
    <w:rsid w:val="00DE374B"/>
    <w:rsid w:val="00DE5444"/>
    <w:rsid w:val="00DE766C"/>
    <w:rsid w:val="00DF7B4F"/>
    <w:rsid w:val="00E02A08"/>
    <w:rsid w:val="00E0341A"/>
    <w:rsid w:val="00E0586B"/>
    <w:rsid w:val="00E058B2"/>
    <w:rsid w:val="00E107F1"/>
    <w:rsid w:val="00E13423"/>
    <w:rsid w:val="00E13DC1"/>
    <w:rsid w:val="00E14D71"/>
    <w:rsid w:val="00E1612F"/>
    <w:rsid w:val="00E21D0C"/>
    <w:rsid w:val="00E27E97"/>
    <w:rsid w:val="00E36FF7"/>
    <w:rsid w:val="00E40918"/>
    <w:rsid w:val="00E41DB9"/>
    <w:rsid w:val="00E436E4"/>
    <w:rsid w:val="00E43CC0"/>
    <w:rsid w:val="00E47621"/>
    <w:rsid w:val="00E500FD"/>
    <w:rsid w:val="00E50DC7"/>
    <w:rsid w:val="00E64D13"/>
    <w:rsid w:val="00E71536"/>
    <w:rsid w:val="00E7435A"/>
    <w:rsid w:val="00E8639F"/>
    <w:rsid w:val="00E91A5F"/>
    <w:rsid w:val="00E962FF"/>
    <w:rsid w:val="00EA07F3"/>
    <w:rsid w:val="00EA0FAD"/>
    <w:rsid w:val="00EA7CFF"/>
    <w:rsid w:val="00EB4B23"/>
    <w:rsid w:val="00EB5B06"/>
    <w:rsid w:val="00EB63F7"/>
    <w:rsid w:val="00EC3215"/>
    <w:rsid w:val="00ED28AB"/>
    <w:rsid w:val="00ED2D2D"/>
    <w:rsid w:val="00ED2DF5"/>
    <w:rsid w:val="00ED3577"/>
    <w:rsid w:val="00ED6F87"/>
    <w:rsid w:val="00EE27C0"/>
    <w:rsid w:val="00EE2EC4"/>
    <w:rsid w:val="00EE3542"/>
    <w:rsid w:val="00EE3B0F"/>
    <w:rsid w:val="00EE501E"/>
    <w:rsid w:val="00EE63B7"/>
    <w:rsid w:val="00EF2415"/>
    <w:rsid w:val="00EF703F"/>
    <w:rsid w:val="00F02ECE"/>
    <w:rsid w:val="00F02FB6"/>
    <w:rsid w:val="00F031AB"/>
    <w:rsid w:val="00F03711"/>
    <w:rsid w:val="00F113DA"/>
    <w:rsid w:val="00F11D16"/>
    <w:rsid w:val="00F13C7E"/>
    <w:rsid w:val="00F1753E"/>
    <w:rsid w:val="00F17FB8"/>
    <w:rsid w:val="00F27CF3"/>
    <w:rsid w:val="00F3221F"/>
    <w:rsid w:val="00F33410"/>
    <w:rsid w:val="00F41F8B"/>
    <w:rsid w:val="00F46301"/>
    <w:rsid w:val="00F465E9"/>
    <w:rsid w:val="00F47DF9"/>
    <w:rsid w:val="00F502BB"/>
    <w:rsid w:val="00F5688E"/>
    <w:rsid w:val="00F56B5B"/>
    <w:rsid w:val="00F65895"/>
    <w:rsid w:val="00F6629F"/>
    <w:rsid w:val="00F81837"/>
    <w:rsid w:val="00FA7E79"/>
    <w:rsid w:val="00FB04BD"/>
    <w:rsid w:val="00FB37BA"/>
    <w:rsid w:val="00FC0D75"/>
    <w:rsid w:val="00FD1960"/>
    <w:rsid w:val="00FE109F"/>
    <w:rsid w:val="00FF3BCE"/>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2AE32D"/>
  <w15:docId w15:val="{5C68144F-6DD5-4FEF-BD52-8C20C830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E2EC4"/>
    <w:pPr>
      <w:tabs>
        <w:tab w:val="center" w:pos="4320"/>
        <w:tab w:val="right" w:pos="8640"/>
      </w:tabs>
    </w:pPr>
  </w:style>
  <w:style w:type="paragraph" w:styleId="Footer">
    <w:name w:val="footer"/>
    <w:basedOn w:val="Normal"/>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link w:val="PlainTextChar"/>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normal0020tablechar">
    <w:name w:val="normal_0020table__char"/>
    <w:basedOn w:val="DefaultParagraphFont"/>
    <w:rsid w:val="0047402A"/>
  </w:style>
  <w:style w:type="character" w:styleId="Strong">
    <w:name w:val="Strong"/>
    <w:basedOn w:val="DefaultParagraphFont"/>
    <w:uiPriority w:val="22"/>
    <w:qFormat/>
    <w:rsid w:val="00DB4EF6"/>
    <w:rPr>
      <w:b/>
      <w:bCs/>
    </w:rPr>
  </w:style>
  <w:style w:type="character" w:customStyle="1" w:styleId="PlainTextChar">
    <w:name w:val="Plain Text Char"/>
    <w:basedOn w:val="DefaultParagraphFont"/>
    <w:link w:val="PlainText"/>
    <w:rsid w:val="007A79AC"/>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29189953">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62917051">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132259792">
      <w:bodyDiv w:val="1"/>
      <w:marLeft w:val="0"/>
      <w:marRight w:val="0"/>
      <w:marTop w:val="0"/>
      <w:marBottom w:val="0"/>
      <w:divBdr>
        <w:top w:val="none" w:sz="0" w:space="0" w:color="auto"/>
        <w:left w:val="none" w:sz="0" w:space="0" w:color="auto"/>
        <w:bottom w:val="none" w:sz="0" w:space="0" w:color="auto"/>
        <w:right w:val="none" w:sz="0" w:space="0" w:color="auto"/>
      </w:divBdr>
    </w:div>
    <w:div w:id="140316910">
      <w:bodyDiv w:val="1"/>
      <w:marLeft w:val="0"/>
      <w:marRight w:val="0"/>
      <w:marTop w:val="0"/>
      <w:marBottom w:val="0"/>
      <w:divBdr>
        <w:top w:val="none" w:sz="0" w:space="0" w:color="auto"/>
        <w:left w:val="none" w:sz="0" w:space="0" w:color="auto"/>
        <w:bottom w:val="none" w:sz="0" w:space="0" w:color="auto"/>
        <w:right w:val="none" w:sz="0" w:space="0" w:color="auto"/>
      </w:divBdr>
    </w:div>
    <w:div w:id="150484311">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36003536">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29282782">
      <w:bodyDiv w:val="1"/>
      <w:marLeft w:val="0"/>
      <w:marRight w:val="0"/>
      <w:marTop w:val="0"/>
      <w:marBottom w:val="0"/>
      <w:divBdr>
        <w:top w:val="none" w:sz="0" w:space="0" w:color="auto"/>
        <w:left w:val="none" w:sz="0" w:space="0" w:color="auto"/>
        <w:bottom w:val="none" w:sz="0" w:space="0" w:color="auto"/>
        <w:right w:val="none" w:sz="0" w:space="0" w:color="auto"/>
      </w:divBdr>
      <w:divsChild>
        <w:div w:id="1790659342">
          <w:marLeft w:val="0"/>
          <w:marRight w:val="0"/>
          <w:marTop w:val="0"/>
          <w:marBottom w:val="0"/>
          <w:divBdr>
            <w:top w:val="none" w:sz="0" w:space="0" w:color="auto"/>
            <w:left w:val="none" w:sz="0" w:space="0" w:color="auto"/>
            <w:bottom w:val="none" w:sz="0" w:space="0" w:color="auto"/>
            <w:right w:val="none" w:sz="0" w:space="0" w:color="auto"/>
          </w:divBdr>
        </w:div>
        <w:div w:id="1666207726">
          <w:marLeft w:val="0"/>
          <w:marRight w:val="0"/>
          <w:marTop w:val="0"/>
          <w:marBottom w:val="0"/>
          <w:divBdr>
            <w:top w:val="none" w:sz="0" w:space="0" w:color="auto"/>
            <w:left w:val="none" w:sz="0" w:space="0" w:color="auto"/>
            <w:bottom w:val="none" w:sz="0" w:space="0" w:color="auto"/>
            <w:right w:val="none" w:sz="0" w:space="0" w:color="auto"/>
          </w:divBdr>
        </w:div>
        <w:div w:id="166334052">
          <w:marLeft w:val="0"/>
          <w:marRight w:val="0"/>
          <w:marTop w:val="0"/>
          <w:marBottom w:val="0"/>
          <w:divBdr>
            <w:top w:val="none" w:sz="0" w:space="0" w:color="auto"/>
            <w:left w:val="none" w:sz="0" w:space="0" w:color="auto"/>
            <w:bottom w:val="none" w:sz="0" w:space="0" w:color="auto"/>
            <w:right w:val="none" w:sz="0" w:space="0" w:color="auto"/>
          </w:divBdr>
        </w:div>
      </w:divsChild>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538394647">
      <w:bodyDiv w:val="1"/>
      <w:marLeft w:val="0"/>
      <w:marRight w:val="0"/>
      <w:marTop w:val="0"/>
      <w:marBottom w:val="0"/>
      <w:divBdr>
        <w:top w:val="none" w:sz="0" w:space="0" w:color="auto"/>
        <w:left w:val="none" w:sz="0" w:space="0" w:color="auto"/>
        <w:bottom w:val="none" w:sz="0" w:space="0" w:color="auto"/>
        <w:right w:val="none" w:sz="0" w:space="0" w:color="auto"/>
      </w:divBdr>
    </w:div>
    <w:div w:id="569653481">
      <w:bodyDiv w:val="1"/>
      <w:marLeft w:val="0"/>
      <w:marRight w:val="0"/>
      <w:marTop w:val="0"/>
      <w:marBottom w:val="0"/>
      <w:divBdr>
        <w:top w:val="none" w:sz="0" w:space="0" w:color="auto"/>
        <w:left w:val="none" w:sz="0" w:space="0" w:color="auto"/>
        <w:bottom w:val="none" w:sz="0" w:space="0" w:color="auto"/>
        <w:right w:val="none" w:sz="0" w:space="0" w:color="auto"/>
      </w:divBdr>
      <w:divsChild>
        <w:div w:id="912354378">
          <w:marLeft w:val="0"/>
          <w:marRight w:val="0"/>
          <w:marTop w:val="15"/>
          <w:marBottom w:val="0"/>
          <w:divBdr>
            <w:top w:val="single" w:sz="48" w:space="0" w:color="auto"/>
            <w:left w:val="single" w:sz="48" w:space="0" w:color="auto"/>
            <w:bottom w:val="single" w:sz="48" w:space="0" w:color="auto"/>
            <w:right w:val="single" w:sz="48" w:space="0" w:color="auto"/>
          </w:divBdr>
          <w:divsChild>
            <w:div w:id="58117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57485362">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895161203">
      <w:bodyDiv w:val="1"/>
      <w:marLeft w:val="0"/>
      <w:marRight w:val="0"/>
      <w:marTop w:val="0"/>
      <w:marBottom w:val="0"/>
      <w:divBdr>
        <w:top w:val="none" w:sz="0" w:space="0" w:color="auto"/>
        <w:left w:val="none" w:sz="0" w:space="0" w:color="auto"/>
        <w:bottom w:val="none" w:sz="0" w:space="0" w:color="auto"/>
        <w:right w:val="none" w:sz="0" w:space="0" w:color="auto"/>
      </w:divBdr>
    </w:div>
    <w:div w:id="993219191">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42237145">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207595757">
      <w:bodyDiv w:val="1"/>
      <w:marLeft w:val="0"/>
      <w:marRight w:val="0"/>
      <w:marTop w:val="0"/>
      <w:marBottom w:val="0"/>
      <w:divBdr>
        <w:top w:val="none" w:sz="0" w:space="0" w:color="auto"/>
        <w:left w:val="none" w:sz="0" w:space="0" w:color="auto"/>
        <w:bottom w:val="none" w:sz="0" w:space="0" w:color="auto"/>
        <w:right w:val="none" w:sz="0" w:space="0" w:color="auto"/>
      </w:divBdr>
    </w:div>
    <w:div w:id="1230532375">
      <w:bodyDiv w:val="1"/>
      <w:marLeft w:val="0"/>
      <w:marRight w:val="0"/>
      <w:marTop w:val="0"/>
      <w:marBottom w:val="0"/>
      <w:divBdr>
        <w:top w:val="none" w:sz="0" w:space="0" w:color="auto"/>
        <w:left w:val="none" w:sz="0" w:space="0" w:color="auto"/>
        <w:bottom w:val="none" w:sz="0" w:space="0" w:color="auto"/>
        <w:right w:val="none" w:sz="0" w:space="0" w:color="auto"/>
      </w:divBdr>
    </w:div>
    <w:div w:id="1233999713">
      <w:bodyDiv w:val="1"/>
      <w:marLeft w:val="0"/>
      <w:marRight w:val="0"/>
      <w:marTop w:val="0"/>
      <w:marBottom w:val="0"/>
      <w:divBdr>
        <w:top w:val="none" w:sz="0" w:space="0" w:color="auto"/>
        <w:left w:val="none" w:sz="0" w:space="0" w:color="auto"/>
        <w:bottom w:val="none" w:sz="0" w:space="0" w:color="auto"/>
        <w:right w:val="none" w:sz="0" w:space="0" w:color="auto"/>
      </w:divBdr>
    </w:div>
    <w:div w:id="1240015509">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272129348">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568493116">
      <w:bodyDiv w:val="1"/>
      <w:marLeft w:val="0"/>
      <w:marRight w:val="0"/>
      <w:marTop w:val="0"/>
      <w:marBottom w:val="0"/>
      <w:divBdr>
        <w:top w:val="none" w:sz="0" w:space="0" w:color="auto"/>
        <w:left w:val="none" w:sz="0" w:space="0" w:color="auto"/>
        <w:bottom w:val="none" w:sz="0" w:space="0" w:color="auto"/>
        <w:right w:val="none" w:sz="0" w:space="0" w:color="auto"/>
      </w:divBdr>
    </w:div>
    <w:div w:id="1579365036">
      <w:bodyDiv w:val="1"/>
      <w:marLeft w:val="0"/>
      <w:marRight w:val="0"/>
      <w:marTop w:val="0"/>
      <w:marBottom w:val="0"/>
      <w:divBdr>
        <w:top w:val="none" w:sz="0" w:space="0" w:color="auto"/>
        <w:left w:val="none" w:sz="0" w:space="0" w:color="auto"/>
        <w:bottom w:val="none" w:sz="0" w:space="0" w:color="auto"/>
        <w:right w:val="none" w:sz="0" w:space="0" w:color="auto"/>
      </w:divBdr>
    </w:div>
    <w:div w:id="1638803798">
      <w:bodyDiv w:val="1"/>
      <w:marLeft w:val="0"/>
      <w:marRight w:val="0"/>
      <w:marTop w:val="0"/>
      <w:marBottom w:val="0"/>
      <w:divBdr>
        <w:top w:val="none" w:sz="0" w:space="0" w:color="auto"/>
        <w:left w:val="none" w:sz="0" w:space="0" w:color="auto"/>
        <w:bottom w:val="none" w:sz="0" w:space="0" w:color="auto"/>
        <w:right w:val="none" w:sz="0" w:space="0" w:color="auto"/>
      </w:divBdr>
    </w:div>
    <w:div w:id="1682320335">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45391152">
      <w:bodyDiv w:val="1"/>
      <w:marLeft w:val="0"/>
      <w:marRight w:val="0"/>
      <w:marTop w:val="0"/>
      <w:marBottom w:val="0"/>
      <w:divBdr>
        <w:top w:val="none" w:sz="0" w:space="0" w:color="auto"/>
        <w:left w:val="none" w:sz="0" w:space="0" w:color="auto"/>
        <w:bottom w:val="none" w:sz="0" w:space="0" w:color="auto"/>
        <w:right w:val="none" w:sz="0" w:space="0" w:color="auto"/>
      </w:divBdr>
    </w:div>
    <w:div w:id="188293320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897621412">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2110616841">
      <w:bodyDiv w:val="1"/>
      <w:marLeft w:val="0"/>
      <w:marRight w:val="0"/>
      <w:marTop w:val="0"/>
      <w:marBottom w:val="0"/>
      <w:divBdr>
        <w:top w:val="none" w:sz="0" w:space="0" w:color="auto"/>
        <w:left w:val="none" w:sz="0" w:space="0" w:color="auto"/>
        <w:bottom w:val="none" w:sz="0" w:space="0" w:color="auto"/>
        <w:right w:val="none" w:sz="0" w:space="0" w:color="auto"/>
      </w:divBdr>
    </w:div>
    <w:div w:id="2135438546">
      <w:bodyDiv w:val="1"/>
      <w:marLeft w:val="0"/>
      <w:marRight w:val="0"/>
      <w:marTop w:val="0"/>
      <w:marBottom w:val="0"/>
      <w:divBdr>
        <w:top w:val="none" w:sz="0" w:space="0" w:color="auto"/>
        <w:left w:val="none" w:sz="0" w:space="0" w:color="auto"/>
        <w:bottom w:val="none" w:sz="0" w:space="0" w:color="auto"/>
        <w:right w:val="none" w:sz="0" w:space="0" w:color="auto"/>
      </w:divBdr>
      <w:divsChild>
        <w:div w:id="1124343781">
          <w:marLeft w:val="0"/>
          <w:marRight w:val="0"/>
          <w:marTop w:val="0"/>
          <w:marBottom w:val="0"/>
          <w:divBdr>
            <w:top w:val="none" w:sz="0" w:space="0" w:color="auto"/>
            <w:left w:val="none" w:sz="0" w:space="0" w:color="auto"/>
            <w:bottom w:val="none" w:sz="0" w:space="0" w:color="auto"/>
            <w:right w:val="none" w:sz="0" w:space="0" w:color="auto"/>
          </w:divBdr>
        </w:div>
        <w:div w:id="865409912">
          <w:marLeft w:val="0"/>
          <w:marRight w:val="0"/>
          <w:marTop w:val="0"/>
          <w:marBottom w:val="0"/>
          <w:divBdr>
            <w:top w:val="none" w:sz="0" w:space="0" w:color="auto"/>
            <w:left w:val="none" w:sz="0" w:space="0" w:color="auto"/>
            <w:bottom w:val="none" w:sz="0" w:space="0" w:color="auto"/>
            <w:right w:val="none" w:sz="0" w:space="0" w:color="auto"/>
          </w:divBdr>
        </w:div>
        <w:div w:id="1209411003">
          <w:marLeft w:val="0"/>
          <w:marRight w:val="0"/>
          <w:marTop w:val="0"/>
          <w:marBottom w:val="0"/>
          <w:divBdr>
            <w:top w:val="none" w:sz="0" w:space="0" w:color="auto"/>
            <w:left w:val="none" w:sz="0" w:space="0" w:color="auto"/>
            <w:bottom w:val="none" w:sz="0" w:space="0" w:color="auto"/>
            <w:right w:val="none" w:sz="0" w:space="0" w:color="auto"/>
          </w:divBdr>
        </w:div>
        <w:div w:id="188229650">
          <w:marLeft w:val="0"/>
          <w:marRight w:val="0"/>
          <w:marTop w:val="0"/>
          <w:marBottom w:val="0"/>
          <w:divBdr>
            <w:top w:val="none" w:sz="0" w:space="0" w:color="auto"/>
            <w:left w:val="none" w:sz="0" w:space="0" w:color="auto"/>
            <w:bottom w:val="none" w:sz="0" w:space="0" w:color="auto"/>
            <w:right w:val="none" w:sz="0" w:space="0" w:color="auto"/>
          </w:divBdr>
        </w:div>
        <w:div w:id="11378003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5E9DC-1444-45F1-8F0C-1460408AA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6</Pages>
  <Words>2434</Words>
  <Characters>12419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14824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Satendra Singh Sengar {सतेन्द्र सिंह सेंगर}</cp:lastModifiedBy>
  <cp:revision>94</cp:revision>
  <cp:lastPrinted>2021-08-11T05:10:00Z</cp:lastPrinted>
  <dcterms:created xsi:type="dcterms:W3CDTF">2021-06-27T14:57:00Z</dcterms:created>
  <dcterms:modified xsi:type="dcterms:W3CDTF">2021-08-23T12:58:00Z</dcterms:modified>
</cp:coreProperties>
</file>